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騰訊雲：Brownfield SDD 落地框架解析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Claude Code、OpenSpec、Superpowers、Constitution 與可操作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SRC-05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規格驅動開發（SDD）：如何用 Claude Code + OpenSpec + Superpowers 在歷史專案中落地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69" w:lineRule="auto"/>
      </w:pPr>
      <w:r>
        <w:rPr>
          <w:rFonts w:ascii="Aptos" w:hAnsi="Aptos" w:eastAsia="Noto Sans CJK TC"/>
          <w:b/>
          <w:i w:val="0"/>
          <w:color w:val="0F6B78"/>
          <w:sz w:val="26"/>
        </w:rPr>
        <w:t>來源資訊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欄位</w:t>
            </w:r>
          </w:p>
        </w:tc>
        <w:tc>
          <w:tcPr>
            <w:tcW w:type="dxa" w:w="7370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標題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規格驅動開發（SDD）：如何用 Claude Code + OpenSpec + Superpowers 在歷史專案中落地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作者／維護者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GimaCode／騰訊雲開發者社群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2026-05-18（頁面標示修改日期）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來源類型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Brownfield 導入指南／工具鏈整合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檢索日期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</w:tbl>
    <w:p>
      <w:pPr>
        <w:keepNext w:val="0"/>
        <w:spacing w:before="80" w:after="80" w:line="269" w:lineRule="auto"/>
      </w:pPr>
      <w:r>
        <w:rPr>
          <w:rFonts w:ascii="Aptos" w:hAnsi="Aptos" w:eastAsia="Noto Sans CJK TC"/>
          <w:b/>
          <w:i w:val="0"/>
          <w:color w:val="17365D"/>
          <w:sz w:val="20"/>
        </w:rPr>
        <w:t>原始連結：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https://cloud.tencent.com/developer/article/2670128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時效性註記：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目前網頁擷取可完整辨識文章概述與詳細目錄，但主要正文未完整呈現在解析結果中。本文件依原站可見概述與目錄結構進行方法分析，具體命令與模板應回原文逐節核對。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文章處理的場景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文章聚焦歷史／存量專案：程式碼龐大、模組邊界模糊、測試不可靠、特殊行為缺少文件，且關鍵知識集中在人員記憶。這種環境若直接加入 AI，容易把原本的隱性約束破壞，形成高風險 Vibe Coding。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工具分工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工具／層次</w:t>
            </w:r>
          </w:p>
        </w:tc>
        <w:tc>
          <w:tcPr>
            <w:tcW w:type="dxa" w:w="317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主要責任</w:t>
            </w:r>
          </w:p>
        </w:tc>
        <w:tc>
          <w:tcPr>
            <w:tcW w:type="dxa" w:w="385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公司化解讀</w:t>
            </w:r>
          </w:p>
        </w:tc>
      </w:tr>
      <w:tr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Claude Code</w:t>
            </w:r>
          </w:p>
        </w:tc>
        <w:tc>
          <w:tcPr>
            <w:tcW w:type="dxa" w:w="317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讀碼、互動澄清、生成與執行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Agent 執行環境</w:t>
            </w:r>
          </w:p>
        </w:tc>
      </w:tr>
      <w:tr>
        <w:tc>
          <w:tcPr>
            <w:tcW w:type="dxa" w:w="238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OpenSpec</w:t>
            </w:r>
          </w:p>
        </w:tc>
        <w:tc>
          <w:tcPr>
            <w:tcW w:type="dxa" w:w="317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Change Lifecycle、Spec、Plan、Tasks、Archive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規格與變更生命週期</w:t>
            </w:r>
          </w:p>
        </w:tc>
      </w:tr>
      <w:tr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Superpowers</w:t>
            </w:r>
          </w:p>
        </w:tc>
        <w:tc>
          <w:tcPr>
            <w:tcW w:type="dxa" w:w="317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TDD、逐任務紀律、Fix 與驗證循環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工程執行與測試紀律</w:t>
            </w:r>
          </w:p>
        </w:tc>
      </w:tr>
      <w:tr>
        <w:tc>
          <w:tcPr>
            <w:tcW w:type="dxa" w:w="238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CLAUDE.md／Constitution</w:t>
            </w:r>
          </w:p>
        </w:tc>
        <w:tc>
          <w:tcPr>
            <w:tcW w:type="dxa" w:w="317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專案規則、技術限制、禁止事項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Layer 0 可執行契約</w:t>
            </w:r>
          </w:p>
        </w:tc>
      </w:tr>
      <w:tr>
        <w:tc>
          <w:tcPr>
            <w:tcW w:type="dxa" w:w="238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MCP／Skills</w:t>
            </w:r>
          </w:p>
        </w:tc>
        <w:tc>
          <w:tcPr>
            <w:tcW w:type="dxa" w:w="317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外部系統與自訂能力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可選 Tool Adapter／能力擴充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四階段閉環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7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階段</w:t>
            </w:r>
          </w:p>
        </w:tc>
        <w:tc>
          <w:tcPr>
            <w:tcW w:type="dxa" w:w="459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文章目錄顯示的主要活動</w:t>
            </w:r>
          </w:p>
        </w:tc>
        <w:tc>
          <w:tcPr>
            <w:tcW w:type="dxa" w:w="294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 Gate</w:t>
            </w:r>
          </w:p>
        </w:tc>
      </w:tr>
      <w:tr>
        <w:tc>
          <w:tcPr>
            <w:tcW w:type="dxa" w:w="187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1. Constitution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產生 CLAUDE.md 草稿、人工審查、提交版本庫、驗證 AI 理解</w:t>
            </w:r>
          </w:p>
        </w:tc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Constitution Approval</w:t>
            </w:r>
          </w:p>
        </w:tc>
      </w:tr>
      <w:tr>
        <w:tc>
          <w:tcPr>
            <w:tcW w:type="dxa" w:w="187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2. 需求規格化</w:t>
            </w:r>
          </w:p>
        </w:tc>
        <w:tc>
          <w:tcPr>
            <w:tcW w:type="dxa" w:w="459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建立 Change、AI 先掃碼、補狀態機、/clarify、鎖定 Spec</w:t>
            </w:r>
          </w:p>
        </w:tc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Requirement Review</w:t>
            </w:r>
          </w:p>
        </w:tc>
      </w:tr>
      <w:tr>
        <w:tc>
          <w:tcPr>
            <w:tcW w:type="dxa" w:w="187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3. 方案與任務</w:t>
            </w:r>
          </w:p>
        </w:tc>
        <w:tc>
          <w:tcPr>
            <w:tcW w:type="dxa" w:w="459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/spec:plan、Plan Gate、通過／不通過、/spec:tasks</w:t>
            </w:r>
          </w:p>
        </w:tc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Design／Task Review</w:t>
            </w:r>
          </w:p>
        </w:tc>
      </w:tr>
      <w:tr>
        <w:tc>
          <w:tcPr>
            <w:tcW w:type="dxa" w:w="187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4. 實作與歸檔</w:t>
            </w:r>
          </w:p>
        </w:tc>
        <w:tc>
          <w:tcPr>
            <w:tcW w:type="dxa" w:w="459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逐任務執行、TDD、人工 API 測試、/fix、全量測試、對齊 Spec、Archive</w:t>
            </w:r>
          </w:p>
        </w:tc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Code／Test／Release／Closure Gate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Constitution 的關鍵價值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此來源比其他文章更明確地把 Constitution 當作可執行契約，而不是一般 README。它用來告訴 Agent 專案不可違反的技術與治理規則，例如模組邊界、測試命令、資料庫限制、安全規則、完成條件與禁止操作。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Borders>
              <w:top w:val="single" w:sz="6" w:color="548235"/>
              <w:left w:val="single" w:sz="6" w:color="548235"/>
              <w:bottom w:val="single" w:sz="6" w:color="548235"/>
              <w:right w:val="single" w:sz="6" w:color="548235"/>
              <w:insideH w:val="single" w:sz="6" w:color="548235"/>
              <w:insideV w:val="single" w:sz="6" w:color="548235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548235"/>
                <w:sz w:val="20"/>
              </w:rPr>
              <w:t>分層原則：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Constitution 管永久規則；Living Specs 管目前真相；Change Spec 管本次修改。三者不能混在同一份提示詞。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狀態機與 Clarification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在 Spec 中補狀態機，避免不同開發者或 Agent 對狀態轉換各自解讀。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用互動式澄清把模糊點問到可決策，而不是由 Agent 自行假設。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Spec 鎖定後，變更應回到規格層重新審查，不應只在程式碼中偷改。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TDD、人工介入與全量驗證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文章目錄將 Superpowers TDD 循環、特定 Task 後人工測 API、問題用 /fix 回到 TDD、原有測試全量回歸，以及最後對齊規格列為實作階段的核心。這反映一個成熟原則：AI 可高速執行，但關鍵行為與系統回歸仍需可重複證據與人工判斷。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7. 優勢與限制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面向</w:t>
            </w:r>
          </w:p>
        </w:tc>
        <w:tc>
          <w:tcPr>
            <w:tcW w:type="dxa" w:w="7370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評估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優勢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最貼近 Brownfield；有 Constitution、Plan Gate、TDD、人工介入、全量回歸與 Archive。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工具成本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Claude Code、OpenSpec、Superpowers、Skills、MCP 等組合增加安裝、版本與維護成本。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流程成本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對低風險小變更可能過重，需要風險分級與簡化路徑。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治理風險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讓 AI「自證準確」只能作輔助，不能替代獨立 Review 或測試證據。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來源限制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目前解析內容以概述與目錄為主，細節需回原站逐節確認。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8. 公司採用建議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以 Constitution 為所有 Agent 共用的 Layer 0，不綁定單一 AI。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要求 Agent 在寫 Spec 前先讀現有 Code 與 Living Specs。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Plan Gate 採明確 Pass／Fail／Conditional Pass，不接受模糊核准。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將 TDD、人工測試、Regression 與 Spec Alignment 寫入 DoD。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工具鏈版本必須鎖定，並以 Pilot 驗證安裝、命令與升級。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GimaCode／騰訊雲開發者社群，〈規格驅動開發（SDD）：如何用 Claude Code + OpenSpec + Superpowers 在歷史專案中落地〉，2026-05-18（頁面標示修改日期）。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https://cloud.tencent.com/developer/article/2670128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loud.tencent.com/developer/article/2670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