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360" w:after="160" w:line="269" w:lineRule="auto"/>
        <w:jc w:val="center"/>
      </w:pPr>
      <w:r>
        <w:rPr>
          <w:rFonts w:ascii="Aptos" w:hAnsi="Aptos" w:eastAsia="Noto Sans CJK TC"/>
          <w:b/>
          <w:i w:val="0"/>
          <w:color w:val="17365D"/>
          <w:sz w:val="48"/>
        </w:rPr>
        <w:t>SDD 五來源跨來源比較矩陣</w:t>
      </w:r>
    </w:p>
    <w:p>
      <w:pPr>
        <w:keepNext w:val="0"/>
        <w:spacing w:before="0" w:after="320" w:line="269" w:lineRule="auto"/>
        <w:jc w:val="center"/>
      </w:pPr>
      <w:r>
        <w:rPr>
          <w:rFonts w:ascii="Aptos" w:hAnsi="Aptos" w:eastAsia="Noto Sans CJK TC"/>
          <w:b w:val="0"/>
          <w:i w:val="0"/>
          <w:color w:val="0F6B78"/>
          <w:sz w:val="23"/>
        </w:rPr>
        <w:t>共通原則、關鍵差異、矛盾與建議整合模型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8"/>
              </w:rPr>
              <w:t>文件編號</w:t>
            </w:r>
          </w:p>
        </w:tc>
        <w:tc>
          <w:tcPr>
            <w:tcW w:type="dxa" w:w="5043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SRC-06</w:t>
            </w:r>
          </w:p>
        </w:tc>
      </w:tr>
      <w:tr>
        <w:tc>
          <w:tcPr>
            <w:tcW w:type="dxa" w:w="5043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8"/>
              </w:rPr>
              <w:t>版本</w:t>
            </w:r>
          </w:p>
        </w:tc>
        <w:tc>
          <w:tcPr>
            <w:tcW w:type="dxa" w:w="5043"/>
            <w:shd w:fill="FFFFFF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1.0</w:t>
            </w:r>
          </w:p>
        </w:tc>
      </w:tr>
      <w:tr>
        <w:tc>
          <w:tcPr>
            <w:tcW w:type="dxa" w:w="5043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8"/>
              </w:rPr>
              <w:t>文件性質</w:t>
            </w:r>
          </w:p>
        </w:tc>
        <w:tc>
          <w:tcPr>
            <w:tcW w:type="dxa" w:w="5043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來源摘要、分析與公司導入參考</w:t>
            </w:r>
          </w:p>
        </w:tc>
      </w:tr>
      <w:tr>
        <w:tc>
          <w:tcPr>
            <w:tcW w:type="dxa" w:w="5043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8"/>
              </w:rPr>
              <w:t>檢索日期</w:t>
            </w:r>
          </w:p>
        </w:tc>
        <w:tc>
          <w:tcPr>
            <w:tcW w:type="dxa" w:w="5043"/>
            <w:shd w:fill="FFFFFF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2026-07-12</w:t>
            </w:r>
          </w:p>
        </w:tc>
      </w:tr>
      <w:tr>
        <w:tc>
          <w:tcPr>
            <w:tcW w:type="dxa" w:w="5043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8"/>
              </w:rPr>
              <w:t>來源範圍</w:t>
            </w:r>
          </w:p>
        </w:tc>
        <w:tc>
          <w:tcPr>
            <w:tcW w:type="dxa" w:w="5043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SDD 規格驅動開發、Spectra 2.0、alfredoperez/sdd、Claude Code: Spec-Driven Development (SDD)、規格驅動開發（SDD）：如何用 Claude Code + OpenSpec + Superpowers 在歷史專案中落地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CE4D6"/>
            <w:tcBorders>
              <w:top w:val="single" w:sz="6" w:color="C65911"/>
              <w:left w:val="single" w:sz="6" w:color="C65911"/>
              <w:bottom w:val="single" w:sz="6" w:color="C65911"/>
              <w:right w:val="single" w:sz="6" w:color="C65911"/>
              <w:insideH w:val="single" w:sz="6" w:color="C65911"/>
              <w:insideV w:val="single" w:sz="6" w:color="C65911"/>
            </w:tcBorders>
          </w:tcPr>
          <w:p>
            <w:pPr>
              <w:keepNext w:val="0"/>
              <w:spacing w:before="60" w:after="60" w:line="269" w:lineRule="auto"/>
            </w:pPr>
            <w:r>
              <w:rPr>
                <w:rFonts w:ascii="Aptos" w:hAnsi="Aptos" w:eastAsia="Noto Sans CJK TC"/>
                <w:b/>
                <w:i w:val="0"/>
                <w:color w:val="C65911"/>
                <w:sz w:val="20"/>
              </w:rPr>
              <w:t>使用聲明：</w:t>
            </w:r>
            <w:r>
              <w:rPr>
                <w:rFonts w:ascii="Aptos" w:hAnsi="Aptos" w:eastAsia="Noto Sans CJK TC"/>
                <w:b w:val="0"/>
                <w:i w:val="0"/>
                <w:color w:val="1F1F1F"/>
                <w:sz w:val="20"/>
              </w:rPr>
              <w:t>本文件是對原始網站內容的摘要、比較與評論，不是原文重製或官方文件。實際導入前，應回到原始來源確認版本、命令與工具限制。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 w:line="269" w:lineRule="auto"/>
      </w:pPr>
      <w:r>
        <w:rPr>
          <w:rFonts w:ascii="Aptos" w:hAnsi="Aptos" w:eastAsia="Noto Sans CJK TC"/>
          <w:b/>
          <w:i w:val="0"/>
          <w:color w:val="17365D"/>
          <w:sz w:val="32"/>
        </w:rPr>
        <w:t>1. 一頁結論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AF4F6"/>
            <w:tcBorders>
              <w:top w:val="single" w:sz="6" w:color="0F6B78"/>
              <w:left w:val="single" w:sz="6" w:color="0F6B78"/>
              <w:bottom w:val="single" w:sz="6" w:color="0F6B78"/>
              <w:right w:val="single" w:sz="6" w:color="0F6B78"/>
              <w:insideH w:val="single" w:sz="6" w:color="0F6B78"/>
              <w:insideV w:val="single" w:sz="6" w:color="0F6B78"/>
            </w:tcBorders>
          </w:tcPr>
          <w:p>
            <w:pPr>
              <w:keepNext w:val="0"/>
              <w:spacing w:before="60" w:after="60" w:line="269" w:lineRule="auto"/>
            </w:pPr>
            <w:r>
              <w:rPr>
                <w:rFonts w:ascii="Aptos" w:hAnsi="Aptos" w:eastAsia="Noto Sans CJK TC"/>
                <w:b/>
                <w:i w:val="0"/>
                <w:color w:val="0F6B78"/>
                <w:sz w:val="20"/>
              </w:rPr>
              <w:t>綜合判斷：</w:t>
            </w:r>
            <w:r>
              <w:rPr>
                <w:rFonts w:ascii="Aptos" w:hAnsi="Aptos" w:eastAsia="Noto Sans CJK TC"/>
                <w:b w:val="0"/>
                <w:i w:val="0"/>
                <w:color w:val="1F1F1F"/>
                <w:sz w:val="20"/>
              </w:rPr>
              <w:t>五個來源並非五套互斥方法：高見龍 SDD 提供語言；Spectra 提供工作台；Alfredo Plugin 提供狀態化執行；Mifkata 提供 Context 持久化實戰；騰訊雲提供 Brownfield 治理框架。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 w:line="269" w:lineRule="auto"/>
      </w:pPr>
      <w:r>
        <w:rPr>
          <w:rFonts w:ascii="Aptos" w:hAnsi="Aptos" w:eastAsia="Noto Sans CJK TC"/>
          <w:b/>
          <w:i w:val="0"/>
          <w:color w:val="17365D"/>
          <w:sz w:val="32"/>
        </w:rPr>
        <w:t>2. 定位比較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1814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6"/>
              </w:rPr>
              <w:t>來源</w:t>
            </w:r>
          </w:p>
        </w:tc>
        <w:tc>
          <w:tcPr>
            <w:tcW w:type="dxa" w:w="2551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6"/>
              </w:rPr>
              <w:t>核心問題</w:t>
            </w:r>
          </w:p>
        </w:tc>
        <w:tc>
          <w:tcPr>
            <w:tcW w:type="dxa" w:w="3231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6"/>
              </w:rPr>
              <w:t>核心產物／機制</w:t>
            </w:r>
          </w:p>
        </w:tc>
        <w:tc>
          <w:tcPr>
            <w:tcW w:type="dxa" w:w="1928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6"/>
              </w:rPr>
              <w:t>最佳適用</w:t>
            </w:r>
          </w:p>
        </w:tc>
      </w:tr>
      <w:tr>
        <w:tc>
          <w:tcPr>
            <w:tcW w:type="dxa" w:w="1814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高見龍 SDD</w:t>
            </w:r>
          </w:p>
        </w:tc>
        <w:tc>
          <w:tcPr>
            <w:tcW w:type="dxa" w:w="2551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AI 對模糊需求自行猜測</w:t>
            </w:r>
          </w:p>
        </w:tc>
        <w:tc>
          <w:tcPr>
            <w:tcW w:type="dxa" w:w="3231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Requirements、Design、Tasks、EARS、成熟度</w:t>
            </w:r>
          </w:p>
        </w:tc>
        <w:tc>
          <w:tcPr>
            <w:tcW w:type="dxa" w:w="192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SDD 入門與共識</w:t>
            </w:r>
          </w:p>
        </w:tc>
      </w:tr>
      <w:tr>
        <w:tc>
          <w:tcPr>
            <w:tcW w:type="dxa" w:w="1814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Spectra 2.0</w:t>
            </w:r>
          </w:p>
        </w:tc>
        <w:tc>
          <w:tcPr>
            <w:tcW w:type="dxa" w:w="2551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OpenSpec 操作與作者工作流不順</w:t>
            </w:r>
          </w:p>
        </w:tc>
        <w:tc>
          <w:tcPr>
            <w:tcW w:type="dxa" w:w="3231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GUI／CLI、propose、apply、ingest、archive</w:t>
            </w:r>
          </w:p>
        </w:tc>
        <w:tc>
          <w:tcPr>
            <w:tcW w:type="dxa" w:w="192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個人／小團隊工作台</w:t>
            </w:r>
          </w:p>
        </w:tc>
      </w:tr>
      <w:tr>
        <w:tc>
          <w:tcPr>
            <w:tcW w:type="dxa" w:w="1814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Alfredo Plugin</w:t>
            </w:r>
          </w:p>
        </w:tc>
        <w:tc>
          <w:tcPr>
            <w:tcW w:type="dxa" w:w="2551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Session 中斷、流程續跑、規格漂移</w:t>
            </w:r>
          </w:p>
        </w:tc>
        <w:tc>
          <w:tcPr>
            <w:tcW w:type="dxa" w:w="3231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State、Resume、Checkpoints、Living Spec、Drift</w:t>
            </w:r>
          </w:p>
        </w:tc>
        <w:tc>
          <w:tcPr>
            <w:tcW w:type="dxa" w:w="192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長時間 Agent 工作流</w:t>
            </w:r>
          </w:p>
        </w:tc>
      </w:tr>
      <w:tr>
        <w:tc>
          <w:tcPr>
            <w:tcW w:type="dxa" w:w="1814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Mifkata</w:t>
            </w:r>
          </w:p>
        </w:tc>
        <w:tc>
          <w:tcPr>
            <w:tcW w:type="dxa" w:w="2551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Context Loss 與大量技術債</w:t>
            </w:r>
          </w:p>
        </w:tc>
        <w:tc>
          <w:tcPr>
            <w:tcW w:type="dxa" w:w="3231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Slim Spec、Verify、Refactor、Test</w:t>
            </w:r>
          </w:p>
        </w:tc>
        <w:tc>
          <w:tcPr>
            <w:tcW w:type="dxa" w:w="192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個人與元件級實戰</w:t>
            </w:r>
          </w:p>
        </w:tc>
      </w:tr>
      <w:tr>
        <w:tc>
          <w:tcPr>
            <w:tcW w:type="dxa" w:w="1814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騰訊雲</w:t>
            </w:r>
          </w:p>
        </w:tc>
        <w:tc>
          <w:tcPr>
            <w:tcW w:type="dxa" w:w="2551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存量系統隱性約束與連鎖回歸</w:t>
            </w:r>
          </w:p>
        </w:tc>
        <w:tc>
          <w:tcPr>
            <w:tcW w:type="dxa" w:w="3231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Constitution、OpenSpec、TDD、Gate、Archive</w:t>
            </w:r>
          </w:p>
        </w:tc>
        <w:tc>
          <w:tcPr>
            <w:tcW w:type="dxa" w:w="192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Brownfield 團隊治理</w:t>
            </w:r>
          </w:p>
        </w:tc>
      </w:tr>
    </w:tbl>
    <w:p>
      <w:pPr>
        <w:pStyle w:val="Heading1"/>
        <w:keepNext/>
        <w:spacing w:before="200" w:after="100" w:line="269" w:lineRule="auto"/>
      </w:pPr>
      <w:r>
        <w:rPr>
          <w:rFonts w:ascii="Aptos" w:hAnsi="Aptos" w:eastAsia="Noto Sans CJK TC"/>
          <w:b/>
          <w:i w:val="0"/>
          <w:color w:val="17365D"/>
          <w:sz w:val="32"/>
        </w:rPr>
        <w:t>3. 能力矩陣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81"/>
        <w:gridCol w:w="1681"/>
        <w:gridCol w:w="1681"/>
        <w:gridCol w:w="1681"/>
        <w:gridCol w:w="1681"/>
        <w:gridCol w:w="1681"/>
      </w:tblGrid>
      <w:tr>
        <w:trPr>
          <w:tblHeader w:val="true"/>
        </w:trPr>
        <w:tc>
          <w:tcPr>
            <w:tcW w:type="dxa" w:w="1701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5"/>
              </w:rPr>
              <w:t>能力</w:t>
            </w:r>
          </w:p>
        </w:tc>
        <w:tc>
          <w:tcPr>
            <w:tcW w:type="dxa" w:w="1417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5"/>
              </w:rPr>
              <w:t>高見龍 SDD</w:t>
            </w:r>
          </w:p>
        </w:tc>
        <w:tc>
          <w:tcPr>
            <w:tcW w:type="dxa" w:w="1417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5"/>
              </w:rPr>
              <w:t>Spectra</w:t>
            </w:r>
          </w:p>
        </w:tc>
        <w:tc>
          <w:tcPr>
            <w:tcW w:type="dxa" w:w="1417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5"/>
              </w:rPr>
              <w:t>Alfredo</w:t>
            </w:r>
          </w:p>
        </w:tc>
        <w:tc>
          <w:tcPr>
            <w:tcW w:type="dxa" w:w="1417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5"/>
              </w:rPr>
              <w:t>Mifkata</w:t>
            </w:r>
          </w:p>
        </w:tc>
        <w:tc>
          <w:tcPr>
            <w:tcW w:type="dxa" w:w="1417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5"/>
              </w:rPr>
              <w:t>騰訊雲</w:t>
            </w:r>
          </w:p>
        </w:tc>
      </w:tr>
      <w:tr>
        <w:tc>
          <w:tcPr>
            <w:tcW w:type="dxa" w:w="1701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5"/>
              </w:rPr>
              <w:t>需求結構化</w:t>
            </w:r>
          </w:p>
        </w:tc>
        <w:tc>
          <w:tcPr>
            <w:tcW w:type="dxa" w:w="1417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5"/>
              </w:rPr>
              <w:t>強</w:t>
            </w:r>
          </w:p>
        </w:tc>
        <w:tc>
          <w:tcPr>
            <w:tcW w:type="dxa" w:w="1417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5"/>
              </w:rPr>
              <w:t>強</w:t>
            </w:r>
          </w:p>
        </w:tc>
        <w:tc>
          <w:tcPr>
            <w:tcW w:type="dxa" w:w="1417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5"/>
              </w:rPr>
              <w:t>強</w:t>
            </w:r>
          </w:p>
        </w:tc>
        <w:tc>
          <w:tcPr>
            <w:tcW w:type="dxa" w:w="1417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5"/>
              </w:rPr>
              <w:t>中</w:t>
            </w:r>
          </w:p>
        </w:tc>
        <w:tc>
          <w:tcPr>
            <w:tcW w:type="dxa" w:w="1417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5"/>
              </w:rPr>
              <w:t>強</w:t>
            </w:r>
          </w:p>
        </w:tc>
      </w:tr>
      <w:tr>
        <w:tc>
          <w:tcPr>
            <w:tcW w:type="dxa" w:w="1701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5"/>
              </w:rPr>
              <w:t>EARS／驗收</w:t>
            </w:r>
          </w:p>
        </w:tc>
        <w:tc>
          <w:tcPr>
            <w:tcW w:type="dxa" w:w="1417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5"/>
              </w:rPr>
              <w:t>強</w:t>
            </w:r>
          </w:p>
        </w:tc>
        <w:tc>
          <w:tcPr>
            <w:tcW w:type="dxa" w:w="1417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5"/>
              </w:rPr>
              <w:t>間接</w:t>
            </w:r>
          </w:p>
        </w:tc>
        <w:tc>
          <w:tcPr>
            <w:tcW w:type="dxa" w:w="1417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5"/>
              </w:rPr>
              <w:t>規格模板</w:t>
            </w:r>
          </w:p>
        </w:tc>
        <w:tc>
          <w:tcPr>
            <w:tcW w:type="dxa" w:w="1417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5"/>
              </w:rPr>
              <w:t>較自由</w:t>
            </w:r>
          </w:p>
        </w:tc>
        <w:tc>
          <w:tcPr>
            <w:tcW w:type="dxa" w:w="1417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5"/>
              </w:rPr>
              <w:t>強調澄清</w:t>
            </w:r>
          </w:p>
        </w:tc>
      </w:tr>
      <w:tr>
        <w:tc>
          <w:tcPr>
            <w:tcW w:type="dxa" w:w="1701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5"/>
              </w:rPr>
              <w:t>Living Spec</w:t>
            </w:r>
          </w:p>
        </w:tc>
        <w:tc>
          <w:tcPr>
            <w:tcW w:type="dxa" w:w="1417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5"/>
              </w:rPr>
              <w:t>主張 Spec-anchored</w:t>
            </w:r>
          </w:p>
        </w:tc>
        <w:tc>
          <w:tcPr>
            <w:tcW w:type="dxa" w:w="1417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5"/>
              </w:rPr>
              <w:t>OpenSpec 相容</w:t>
            </w:r>
          </w:p>
        </w:tc>
        <w:tc>
          <w:tcPr>
            <w:tcW w:type="dxa" w:w="1417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5"/>
              </w:rPr>
              <w:t>強，含同步</w:t>
            </w:r>
          </w:p>
        </w:tc>
        <w:tc>
          <w:tcPr>
            <w:tcW w:type="dxa" w:w="1417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5"/>
              </w:rPr>
              <w:t>個人 Spec 集合</w:t>
            </w:r>
          </w:p>
        </w:tc>
        <w:tc>
          <w:tcPr>
            <w:tcW w:type="dxa" w:w="1417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5"/>
              </w:rPr>
              <w:t>以 OpenSpec 為主</w:t>
            </w:r>
          </w:p>
        </w:tc>
      </w:tr>
      <w:tr>
        <w:tc>
          <w:tcPr>
            <w:tcW w:type="dxa" w:w="1701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5"/>
              </w:rPr>
              <w:t>Execution State</w:t>
            </w:r>
          </w:p>
        </w:tc>
        <w:tc>
          <w:tcPr>
            <w:tcW w:type="dxa" w:w="1417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5"/>
              </w:rPr>
              <w:t>概念層</w:t>
            </w:r>
          </w:p>
        </w:tc>
        <w:tc>
          <w:tcPr>
            <w:tcW w:type="dxa" w:w="1417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5"/>
              </w:rPr>
              <w:t>GUI 任務進度</w:t>
            </w:r>
          </w:p>
        </w:tc>
        <w:tc>
          <w:tcPr>
            <w:tcW w:type="dxa" w:w="1417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5"/>
              </w:rPr>
              <w:t>最強</w:t>
            </w:r>
          </w:p>
        </w:tc>
        <w:tc>
          <w:tcPr>
            <w:tcW w:type="dxa" w:w="1417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5"/>
              </w:rPr>
              <w:t>較弱</w:t>
            </w:r>
          </w:p>
        </w:tc>
        <w:tc>
          <w:tcPr>
            <w:tcW w:type="dxa" w:w="1417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5"/>
              </w:rPr>
              <w:t>工具鏈流程</w:t>
            </w:r>
          </w:p>
        </w:tc>
      </w:tr>
      <w:tr>
        <w:tc>
          <w:tcPr>
            <w:tcW w:type="dxa" w:w="1701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5"/>
              </w:rPr>
              <w:t>Spec-Code Drift</w:t>
            </w:r>
          </w:p>
        </w:tc>
        <w:tc>
          <w:tcPr>
            <w:tcW w:type="dxa" w:w="1417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5"/>
              </w:rPr>
              <w:t>提醒同步</w:t>
            </w:r>
          </w:p>
        </w:tc>
        <w:tc>
          <w:tcPr>
            <w:tcW w:type="dxa" w:w="1417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5"/>
              </w:rPr>
              <w:t>後續版本加入 Drift</w:t>
            </w:r>
          </w:p>
        </w:tc>
        <w:tc>
          <w:tcPr>
            <w:tcW w:type="dxa" w:w="1417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5"/>
              </w:rPr>
              <w:t>強，tracked／unspeced</w:t>
            </w:r>
          </w:p>
        </w:tc>
        <w:tc>
          <w:tcPr>
            <w:tcW w:type="dxa" w:w="1417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5"/>
              </w:rPr>
              <w:t>/spec-verify</w:t>
            </w:r>
          </w:p>
        </w:tc>
        <w:tc>
          <w:tcPr>
            <w:tcW w:type="dxa" w:w="1417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5"/>
              </w:rPr>
              <w:t>全量對齊／歸檔</w:t>
            </w:r>
          </w:p>
        </w:tc>
      </w:tr>
      <w:tr>
        <w:tc>
          <w:tcPr>
            <w:tcW w:type="dxa" w:w="1701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5"/>
              </w:rPr>
              <w:t>TDD</w:t>
            </w:r>
          </w:p>
        </w:tc>
        <w:tc>
          <w:tcPr>
            <w:tcW w:type="dxa" w:w="1417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5"/>
              </w:rPr>
              <w:t>相關方法論</w:t>
            </w:r>
          </w:p>
        </w:tc>
        <w:tc>
          <w:tcPr>
            <w:tcW w:type="dxa" w:w="1417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5"/>
              </w:rPr>
              <w:t>/spectra:tdd</w:t>
            </w:r>
          </w:p>
        </w:tc>
        <w:tc>
          <w:tcPr>
            <w:tcW w:type="dxa" w:w="1417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5"/>
              </w:rPr>
              <w:t>Hooks／Checkpoints</w:t>
            </w:r>
          </w:p>
        </w:tc>
        <w:tc>
          <w:tcPr>
            <w:tcW w:type="dxa" w:w="1417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5"/>
              </w:rPr>
              <w:t>/test-create</w:t>
            </w:r>
          </w:p>
        </w:tc>
        <w:tc>
          <w:tcPr>
            <w:tcW w:type="dxa" w:w="1417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5"/>
              </w:rPr>
              <w:t>Superpowers 核心</w:t>
            </w:r>
          </w:p>
        </w:tc>
      </w:tr>
      <w:tr>
        <w:tc>
          <w:tcPr>
            <w:tcW w:type="dxa" w:w="1701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5"/>
              </w:rPr>
              <w:t>Human Gate</w:t>
            </w:r>
          </w:p>
        </w:tc>
        <w:tc>
          <w:tcPr>
            <w:tcW w:type="dxa" w:w="1417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5"/>
              </w:rPr>
              <w:t>驗收概念</w:t>
            </w:r>
          </w:p>
        </w:tc>
        <w:tc>
          <w:tcPr>
            <w:tcW w:type="dxa" w:w="1417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5"/>
              </w:rPr>
              <w:t>使用者檢視</w:t>
            </w:r>
          </w:p>
        </w:tc>
        <w:tc>
          <w:tcPr>
            <w:tcW w:type="dxa" w:w="1417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5"/>
              </w:rPr>
              <w:t>三個 Checkpoint</w:t>
            </w:r>
          </w:p>
        </w:tc>
        <w:tc>
          <w:tcPr>
            <w:tcW w:type="dxa" w:w="1417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5"/>
              </w:rPr>
              <w:t>互動確認</w:t>
            </w:r>
          </w:p>
        </w:tc>
        <w:tc>
          <w:tcPr>
            <w:tcW w:type="dxa" w:w="1417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5"/>
              </w:rPr>
              <w:t>最完整</w:t>
            </w:r>
          </w:p>
        </w:tc>
      </w:tr>
      <w:tr>
        <w:tc>
          <w:tcPr>
            <w:tcW w:type="dxa" w:w="1701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5"/>
              </w:rPr>
              <w:t>跨 AI 可攜</w:t>
            </w:r>
          </w:p>
        </w:tc>
        <w:tc>
          <w:tcPr>
            <w:tcW w:type="dxa" w:w="1417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5"/>
              </w:rPr>
              <w:t>OpenSpec／Spec Kit 提及</w:t>
            </w:r>
          </w:p>
        </w:tc>
        <w:tc>
          <w:tcPr>
            <w:tcW w:type="dxa" w:w="1417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5"/>
              </w:rPr>
              <w:t>格式相容但工具有偏好</w:t>
            </w:r>
          </w:p>
        </w:tc>
        <w:tc>
          <w:tcPr>
            <w:tcW w:type="dxa" w:w="1417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5"/>
              </w:rPr>
              <w:t>Claude Code 綁定</w:t>
            </w:r>
          </w:p>
        </w:tc>
        <w:tc>
          <w:tcPr>
            <w:tcW w:type="dxa" w:w="1417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5"/>
              </w:rPr>
              <w:t>Claude Code 綁定</w:t>
            </w:r>
          </w:p>
        </w:tc>
        <w:tc>
          <w:tcPr>
            <w:tcW w:type="dxa" w:w="1417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5"/>
              </w:rPr>
              <w:t>Claude Code 主體</w:t>
            </w:r>
          </w:p>
        </w:tc>
      </w:tr>
      <w:tr>
        <w:tc>
          <w:tcPr>
            <w:tcW w:type="dxa" w:w="1701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5"/>
              </w:rPr>
              <w:t>Brownfield</w:t>
            </w:r>
          </w:p>
        </w:tc>
        <w:tc>
          <w:tcPr>
            <w:tcW w:type="dxa" w:w="1417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5"/>
              </w:rPr>
              <w:t>強調 OpenSpec</w:t>
            </w:r>
          </w:p>
        </w:tc>
        <w:tc>
          <w:tcPr>
            <w:tcW w:type="dxa" w:w="1417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5"/>
              </w:rPr>
              <w:t>支援現有 Spec</w:t>
            </w:r>
          </w:p>
        </w:tc>
        <w:tc>
          <w:tcPr>
            <w:tcW w:type="dxa" w:w="1417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5"/>
              </w:rPr>
              <w:t>Living Domains</w:t>
            </w:r>
          </w:p>
        </w:tc>
        <w:tc>
          <w:tcPr>
            <w:tcW w:type="dxa" w:w="1417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5"/>
              </w:rPr>
              <w:t>可補既有 Spec</w:t>
            </w:r>
          </w:p>
        </w:tc>
        <w:tc>
          <w:tcPr>
            <w:tcW w:type="dxa" w:w="1417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5"/>
              </w:rPr>
              <w:t>最強</w:t>
            </w:r>
          </w:p>
        </w:tc>
      </w:tr>
    </w:tbl>
    <w:p>
      <w:pPr>
        <w:pStyle w:val="Heading1"/>
        <w:keepNext/>
        <w:spacing w:before="200" w:after="100" w:line="269" w:lineRule="auto"/>
      </w:pPr>
      <w:r>
        <w:rPr>
          <w:rFonts w:ascii="Aptos" w:hAnsi="Aptos" w:eastAsia="Noto Sans CJK TC"/>
          <w:b/>
          <w:i w:val="0"/>
          <w:color w:val="17365D"/>
          <w:sz w:val="32"/>
        </w:rPr>
        <w:t>4. 五個來源共同同意的原則</w:t>
      </w:r>
    </w:p>
    <w:p>
      <w:pPr>
        <w:pStyle w:val="ListBullet"/>
        <w:keepNext w:val="0"/>
        <w:spacing w:before="0" w:after="40" w:line="254" w:lineRule="auto"/>
      </w:pPr>
      <w:r>
        <w:rPr>
          <w:rFonts w:ascii="Aptos" w:hAnsi="Aptos" w:eastAsia="Noto Sans CJK TC"/>
          <w:b w:val="0"/>
          <w:i w:val="0"/>
          <w:color w:val="1F1F1F"/>
          <w:sz w:val="21"/>
        </w:rPr>
        <w:t>不可只依賴聊天紀錄；關鍵知識必須寫入可版本控制的 Artifact。</w:t>
      </w:r>
    </w:p>
    <w:p>
      <w:pPr>
        <w:pStyle w:val="ListBullet"/>
        <w:keepNext w:val="0"/>
        <w:spacing w:before="0" w:after="40" w:line="254" w:lineRule="auto"/>
      </w:pPr>
      <w:r>
        <w:rPr>
          <w:rFonts w:ascii="Aptos" w:hAnsi="Aptos" w:eastAsia="Noto Sans CJK TC"/>
          <w:b w:val="0"/>
          <w:i w:val="0"/>
          <w:color w:val="1F1F1F"/>
          <w:sz w:val="21"/>
        </w:rPr>
        <w:t>先定義需求與完成條件，再進入實作。</w:t>
      </w:r>
    </w:p>
    <w:p>
      <w:pPr>
        <w:pStyle w:val="ListBullet"/>
        <w:keepNext w:val="0"/>
        <w:spacing w:before="0" w:after="40" w:line="254" w:lineRule="auto"/>
      </w:pPr>
      <w:r>
        <w:rPr>
          <w:rFonts w:ascii="Aptos" w:hAnsi="Aptos" w:eastAsia="Noto Sans CJK TC"/>
          <w:b w:val="0"/>
          <w:i w:val="0"/>
          <w:color w:val="1F1F1F"/>
          <w:sz w:val="21"/>
        </w:rPr>
        <w:t>規格與程式碼必須持續對齊，而不是一次性文件。</w:t>
      </w:r>
    </w:p>
    <w:p>
      <w:pPr>
        <w:pStyle w:val="ListBullet"/>
        <w:keepNext w:val="0"/>
        <w:spacing w:before="0" w:after="40" w:line="254" w:lineRule="auto"/>
      </w:pPr>
      <w:r>
        <w:rPr>
          <w:rFonts w:ascii="Aptos" w:hAnsi="Aptos" w:eastAsia="Noto Sans CJK TC"/>
          <w:b w:val="0"/>
          <w:i w:val="0"/>
          <w:color w:val="1F1F1F"/>
          <w:sz w:val="21"/>
        </w:rPr>
        <w:t>實作應拆成可追蹤任務，並以測試或證據驗證。</w:t>
      </w:r>
    </w:p>
    <w:p>
      <w:pPr>
        <w:pStyle w:val="ListBullet"/>
        <w:keepNext w:val="0"/>
        <w:spacing w:before="0" w:after="40" w:line="254" w:lineRule="auto"/>
      </w:pPr>
      <w:r>
        <w:rPr>
          <w:rFonts w:ascii="Aptos" w:hAnsi="Aptos" w:eastAsia="Noto Sans CJK TC"/>
          <w:b w:val="0"/>
          <w:i w:val="0"/>
          <w:color w:val="1F1F1F"/>
          <w:sz w:val="21"/>
        </w:rPr>
        <w:t>AI 可產生與執行，但不應無限制自行決策。</w:t>
      </w:r>
    </w:p>
    <w:p>
      <w:pPr>
        <w:pStyle w:val="ListBullet"/>
        <w:keepNext w:val="0"/>
        <w:spacing w:before="0" w:after="40" w:line="254" w:lineRule="auto"/>
      </w:pPr>
      <w:r>
        <w:rPr>
          <w:rFonts w:ascii="Aptos" w:hAnsi="Aptos" w:eastAsia="Noto Sans CJK TC"/>
          <w:b w:val="0"/>
          <w:i w:val="0"/>
          <w:color w:val="1F1F1F"/>
          <w:sz w:val="21"/>
        </w:rPr>
        <w:t>既有系統需要先理解現況與隱性約束，再提出 Change。</w:t>
      </w:r>
    </w:p>
    <w:p>
      <w:pPr>
        <w:pStyle w:val="Heading1"/>
        <w:keepNext/>
        <w:spacing w:before="200" w:after="100" w:line="269" w:lineRule="auto"/>
      </w:pPr>
      <w:r>
        <w:rPr>
          <w:rFonts w:ascii="Aptos" w:hAnsi="Aptos" w:eastAsia="Noto Sans CJK TC"/>
          <w:b/>
          <w:i w:val="0"/>
          <w:color w:val="17365D"/>
          <w:sz w:val="32"/>
        </w:rPr>
        <w:t>5. 主要差異與衝突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984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議題</w:t>
            </w:r>
          </w:p>
        </w:tc>
        <w:tc>
          <w:tcPr>
            <w:tcW w:type="dxa" w:w="4082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不同觀點</w:t>
            </w:r>
          </w:p>
        </w:tc>
        <w:tc>
          <w:tcPr>
            <w:tcW w:type="dxa" w:w="3402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整合建議</w:t>
            </w:r>
          </w:p>
        </w:tc>
      </w:tr>
      <w:tr>
        <w:tc>
          <w:tcPr>
            <w:tcW w:type="dxa" w:w="1984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規格要多詳細</w:t>
            </w:r>
          </w:p>
        </w:tc>
        <w:tc>
          <w:tcPr>
            <w:tcW w:type="dxa" w:w="408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Mifkata 偏精簡；公司治理需要可審核背景與理由</w:t>
            </w:r>
          </w:p>
        </w:tc>
        <w:tc>
          <w:tcPr>
            <w:tcW w:type="dxa" w:w="340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雙層文件：正式 Spec + Agent Context Summary</w:t>
            </w:r>
          </w:p>
        </w:tc>
      </w:tr>
      <w:tr>
        <w:tc>
          <w:tcPr>
            <w:tcW w:type="dxa" w:w="1984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流程重量</w:t>
            </w:r>
          </w:p>
        </w:tc>
        <w:tc>
          <w:tcPr>
            <w:tcW w:type="dxa" w:w="4082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Spectra／Alfredo 提供快速路徑；騰訊雲偏完整閉環</w:t>
            </w:r>
          </w:p>
        </w:tc>
        <w:tc>
          <w:tcPr>
            <w:tcW w:type="dxa" w:w="3402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以風險而非行數作分級</w:t>
            </w:r>
          </w:p>
        </w:tc>
      </w:tr>
      <w:tr>
        <w:tc>
          <w:tcPr>
            <w:tcW w:type="dxa" w:w="1984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規格或程式碼誰是權威</w:t>
            </w:r>
          </w:p>
        </w:tc>
        <w:tc>
          <w:tcPr>
            <w:tcW w:type="dxa" w:w="408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Mifkata 允許雙向 Sync；Spec-anchored 偏規格優先</w:t>
            </w:r>
          </w:p>
        </w:tc>
        <w:tc>
          <w:tcPr>
            <w:tcW w:type="dxa" w:w="340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依核准狀態決定；任何 Code → Spec 都要決策證據</w:t>
            </w:r>
          </w:p>
        </w:tc>
      </w:tr>
      <w:tr>
        <w:tc>
          <w:tcPr>
            <w:tcW w:type="dxa" w:w="1984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工具綁定</w:t>
            </w:r>
          </w:p>
        </w:tc>
        <w:tc>
          <w:tcPr>
            <w:tcW w:type="dxa" w:w="4082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多數實作綁 Claude Code；方法論本身可中立</w:t>
            </w:r>
          </w:p>
        </w:tc>
        <w:tc>
          <w:tcPr>
            <w:tcW w:type="dxa" w:w="3402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核心 Artifact 中立，工具命令放 Adapter</w:t>
            </w:r>
          </w:p>
        </w:tc>
      </w:tr>
      <w:tr>
        <w:tc>
          <w:tcPr>
            <w:tcW w:type="dxa" w:w="1984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平行任務</w:t>
            </w:r>
          </w:p>
        </w:tc>
        <w:tc>
          <w:tcPr>
            <w:tcW w:type="dxa" w:w="408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Spectra／Alfredo 以檔案與依賴判定</w:t>
            </w:r>
          </w:p>
        </w:tc>
        <w:tc>
          <w:tcPr>
            <w:tcW w:type="dxa" w:w="340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增加 API、資料、環境與共享資源依賴檢查</w:t>
            </w:r>
          </w:p>
        </w:tc>
      </w:tr>
    </w:tbl>
    <w:p>
      <w:pPr>
        <w:pStyle w:val="Heading1"/>
        <w:keepNext/>
        <w:spacing w:before="200" w:after="100" w:line="269" w:lineRule="auto"/>
      </w:pPr>
      <w:r>
        <w:rPr>
          <w:rFonts w:ascii="Aptos" w:hAnsi="Aptos" w:eastAsia="Noto Sans CJK TC"/>
          <w:b/>
          <w:i w:val="0"/>
          <w:color w:val="17365D"/>
          <w:sz w:val="32"/>
        </w:rPr>
        <w:t>6. 建議的公司整合模型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701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Layer</w:t>
            </w:r>
          </w:p>
        </w:tc>
        <w:tc>
          <w:tcPr>
            <w:tcW w:type="dxa" w:w="3969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公司 Artifact</w:t>
            </w:r>
          </w:p>
        </w:tc>
        <w:tc>
          <w:tcPr>
            <w:tcW w:type="dxa" w:w="3798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來源啟發</w:t>
            </w:r>
          </w:p>
        </w:tc>
      </w:tr>
      <w:tr>
        <w:tc>
          <w:tcPr>
            <w:tcW w:type="dxa" w:w="1701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0. Constitution</w:t>
            </w:r>
          </w:p>
        </w:tc>
        <w:tc>
          <w:tcPr>
            <w:tcW w:type="dxa" w:w="3969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project-constitution、AI contract、tool portability</w:t>
            </w:r>
          </w:p>
        </w:tc>
        <w:tc>
          <w:tcPr>
            <w:tcW w:type="dxa" w:w="379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騰訊雲、Spec Kit、Alfredo principles</w:t>
            </w:r>
          </w:p>
        </w:tc>
      </w:tr>
      <w:tr>
        <w:tc>
          <w:tcPr>
            <w:tcW w:type="dxa" w:w="1701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1. Living Specs</w:t>
            </w:r>
          </w:p>
        </w:tc>
        <w:tc>
          <w:tcPr>
            <w:tcW w:type="dxa" w:w="3969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目前能力、API、資料、架構、安全、維運</w:t>
            </w:r>
          </w:p>
        </w:tc>
        <w:tc>
          <w:tcPr>
            <w:tcW w:type="dxa" w:w="379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OpenSpec、高見龍、Alfredo</w:t>
            </w:r>
          </w:p>
        </w:tc>
      </w:tr>
      <w:tr>
        <w:tc>
          <w:tcPr>
            <w:tcW w:type="dxa" w:w="1701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2. Change Spec</w:t>
            </w:r>
          </w:p>
        </w:tc>
        <w:tc>
          <w:tcPr>
            <w:tcW w:type="dxa" w:w="3969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Proposal、Requirements、NFR、Delta</w:t>
            </w:r>
          </w:p>
        </w:tc>
        <w:tc>
          <w:tcPr>
            <w:tcW w:type="dxa" w:w="379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OpenSpec、Spectra、高見龍</w:t>
            </w:r>
          </w:p>
        </w:tc>
      </w:tr>
      <w:tr>
        <w:tc>
          <w:tcPr>
            <w:tcW w:type="dxa" w:w="1701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3. Design／ADR</w:t>
            </w:r>
          </w:p>
        </w:tc>
        <w:tc>
          <w:tcPr>
            <w:tcW w:type="dxa" w:w="3969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方案、取捨、Migration、Rollback</w:t>
            </w:r>
          </w:p>
        </w:tc>
        <w:tc>
          <w:tcPr>
            <w:tcW w:type="dxa" w:w="379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高見龍、Alfredo ADR、騰訊雲 Plan Gate</w:t>
            </w:r>
          </w:p>
        </w:tc>
      </w:tr>
      <w:tr>
        <w:tc>
          <w:tcPr>
            <w:tcW w:type="dxa" w:w="1701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4. Tasks／State</w:t>
            </w:r>
          </w:p>
        </w:tc>
        <w:tc>
          <w:tcPr>
            <w:tcW w:type="dxa" w:w="3969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任務、依賴、Execution State、Handoff</w:t>
            </w:r>
          </w:p>
        </w:tc>
        <w:tc>
          <w:tcPr>
            <w:tcW w:type="dxa" w:w="379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Alfredo、Spectra、Mifkata</w:t>
            </w:r>
          </w:p>
        </w:tc>
      </w:tr>
      <w:tr>
        <w:tc>
          <w:tcPr>
            <w:tcW w:type="dxa" w:w="1701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5. Verification</w:t>
            </w:r>
          </w:p>
        </w:tc>
        <w:tc>
          <w:tcPr>
            <w:tcW w:type="dxa" w:w="3969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TDD、QA、Security、Regression、Drift</w:t>
            </w:r>
          </w:p>
        </w:tc>
        <w:tc>
          <w:tcPr>
            <w:tcW w:type="dxa" w:w="379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Spectra、Superpowers、Mifkata Verify、Alfredo Drift</w:t>
            </w:r>
          </w:p>
        </w:tc>
      </w:tr>
      <w:tr>
        <w:tc>
          <w:tcPr>
            <w:tcW w:type="dxa" w:w="1701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6. Closure</w:t>
            </w:r>
          </w:p>
        </w:tc>
        <w:tc>
          <w:tcPr>
            <w:tcW w:type="dxa" w:w="3969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Living Spec Sync、Archive、Knowledge</w:t>
            </w:r>
          </w:p>
        </w:tc>
        <w:tc>
          <w:tcPr>
            <w:tcW w:type="dxa" w:w="379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OpenSpec、Spectra、騰訊雲</w:t>
            </w:r>
          </w:p>
        </w:tc>
      </w:tr>
    </w:tbl>
    <w:p>
      <w:pPr>
        <w:pStyle w:val="Heading1"/>
        <w:keepNext/>
        <w:spacing w:before="200" w:after="100" w:line="269" w:lineRule="auto"/>
      </w:pPr>
      <w:r>
        <w:rPr>
          <w:rFonts w:ascii="Aptos" w:hAnsi="Aptos" w:eastAsia="Noto Sans CJK TC"/>
          <w:b/>
          <w:i w:val="0"/>
          <w:color w:val="17365D"/>
          <w:sz w:val="32"/>
        </w:rPr>
        <w:t>7. 工具選擇建議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835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情境</w:t>
            </w:r>
          </w:p>
        </w:tc>
        <w:tc>
          <w:tcPr>
            <w:tcW w:type="dxa" w:w="6633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建議</w:t>
            </w:r>
          </w:p>
        </w:tc>
      </w:tr>
      <w:tr>
        <w:tc>
          <w:tcPr>
            <w:tcW w:type="dxa" w:w="2835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個人／小型新功能</w:t>
            </w:r>
          </w:p>
        </w:tc>
        <w:tc>
          <w:tcPr>
            <w:tcW w:type="dxa" w:w="6633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Spectra 或簡化 SDD，保留 Requirements／Tasks／Test。</w:t>
            </w:r>
          </w:p>
        </w:tc>
      </w:tr>
      <w:tr>
        <w:tc>
          <w:tcPr>
            <w:tcW w:type="dxa" w:w="2835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Claude Code 長流程</w:t>
            </w:r>
          </w:p>
        </w:tc>
        <w:tc>
          <w:tcPr>
            <w:tcW w:type="dxa" w:w="6633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參考 Alfredo State／Resume／Checkpoint。</w:t>
            </w:r>
          </w:p>
        </w:tc>
      </w:tr>
      <w:tr>
        <w:tc>
          <w:tcPr>
            <w:tcW w:type="dxa" w:w="2835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大量 UI 元件與重構</w:t>
            </w:r>
          </w:p>
        </w:tc>
        <w:tc>
          <w:tcPr>
            <w:tcW w:type="dxa" w:w="6633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參考 Mifkata Compact Spec／Verify／Refactor。</w:t>
            </w:r>
          </w:p>
        </w:tc>
      </w:tr>
      <w:tr>
        <w:tc>
          <w:tcPr>
            <w:tcW w:type="dxa" w:w="2835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企業 Brownfield</w:t>
            </w:r>
          </w:p>
        </w:tc>
        <w:tc>
          <w:tcPr>
            <w:tcW w:type="dxa" w:w="6633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以 Constitution + Living Spec + Change Gate 為主，工具只作 Adapter。</w:t>
            </w:r>
          </w:p>
        </w:tc>
      </w:tr>
      <w:tr>
        <w:tc>
          <w:tcPr>
            <w:tcW w:type="dxa" w:w="2835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高法遵／高風險</w:t>
            </w:r>
          </w:p>
        </w:tc>
        <w:tc>
          <w:tcPr>
            <w:tcW w:type="dxa" w:w="6633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不採全自動 Auto；強制 Human Approval、Security、Audit 與 Release Gate。</w:t>
            </w:r>
          </w:p>
        </w:tc>
      </w:tr>
    </w:tbl>
    <w:p>
      <w:pPr>
        <w:pStyle w:val="Heading1"/>
        <w:keepNext/>
        <w:spacing w:before="200" w:after="100" w:line="269" w:lineRule="auto"/>
      </w:pPr>
      <w:r>
        <w:rPr>
          <w:rFonts w:ascii="Aptos" w:hAnsi="Aptos" w:eastAsia="Noto Sans CJK TC"/>
          <w:b/>
          <w:i w:val="0"/>
          <w:color w:val="17365D"/>
          <w:sz w:val="32"/>
        </w:rPr>
        <w:t>參考來源</w:t>
      </w:r>
    </w:p>
    <w:p>
      <w:pPr>
        <w:keepNext w:val="0"/>
        <w:spacing w:before="0" w:after="80" w:line="269" w:lineRule="auto"/>
      </w:pPr>
      <w:r>
        <w:rPr>
          <w:rFonts w:ascii="Aptos" w:hAnsi="Aptos" w:eastAsia="Noto Sans CJK TC"/>
          <w:b w:val="0"/>
          <w:i w:val="0"/>
          <w:color w:val="1F1F1F"/>
          <w:sz w:val="19"/>
        </w:rPr>
        <w:t>高見龍，〈SDD 規格驅動開發〉，2026-01-12。</w:t>
      </w:r>
      <w:hyperlink r:id="rId11">
        <w:r>
          <w:rPr>
            <w:rFonts w:ascii="Aptos" w:hAnsi="Aptos" w:eastAsia="Noto Sans CJK TC"/>
            <w:color w:val="2F75B5"/>
            <w:u w:val="single"/>
            <w:sz w:val="20"/>
          </w:rPr>
          <w:t>https://kaochenlong.com/sdd-spec-driven-development</w:t>
        </w:r>
      </w:hyperlink>
    </w:p>
    <w:p>
      <w:pPr>
        <w:keepNext w:val="0"/>
        <w:spacing w:before="0" w:after="80" w:line="269" w:lineRule="auto"/>
      </w:pPr>
      <w:r>
        <w:rPr>
          <w:rFonts w:ascii="Aptos" w:hAnsi="Aptos" w:eastAsia="Noto Sans CJK TC"/>
          <w:b w:val="0"/>
          <w:i w:val="0"/>
          <w:color w:val="1F1F1F"/>
          <w:sz w:val="19"/>
        </w:rPr>
        <w:t>高見龍，〈Spectra 2.0〉，2026-03-02。</w:t>
      </w:r>
      <w:hyperlink r:id="rId12">
        <w:r>
          <w:rPr>
            <w:rFonts w:ascii="Aptos" w:hAnsi="Aptos" w:eastAsia="Noto Sans CJK TC"/>
            <w:color w:val="2F75B5"/>
            <w:u w:val="single"/>
            <w:sz w:val="20"/>
          </w:rPr>
          <w:t>https://kaochenlong.com/spectra-app-2</w:t>
        </w:r>
      </w:hyperlink>
    </w:p>
    <w:p>
      <w:pPr>
        <w:keepNext w:val="0"/>
        <w:spacing w:before="0" w:after="80" w:line="269" w:lineRule="auto"/>
      </w:pPr>
      <w:r>
        <w:rPr>
          <w:rFonts w:ascii="Aptos" w:hAnsi="Aptos" w:eastAsia="Noto Sans CJK TC"/>
          <w:b w:val="0"/>
          <w:i w:val="0"/>
          <w:color w:val="1F1F1F"/>
          <w:sz w:val="19"/>
        </w:rPr>
        <w:t>Alfredo Perez，〈alfredoperez/sdd〉，Repository；v1.0.0 於 2026-03-08，Changelog 最新記錄 v1.24.0（2026-05-23）。</w:t>
      </w:r>
      <w:hyperlink r:id="rId13">
        <w:r>
          <w:rPr>
            <w:rFonts w:ascii="Aptos" w:hAnsi="Aptos" w:eastAsia="Noto Sans CJK TC"/>
            <w:color w:val="2F75B5"/>
            <w:u w:val="single"/>
            <w:sz w:val="20"/>
          </w:rPr>
          <w:t>https://github.com/alfredoperez/sdd</w:t>
        </w:r>
      </w:hyperlink>
    </w:p>
    <w:p>
      <w:pPr>
        <w:keepNext w:val="0"/>
        <w:spacing w:before="0" w:after="80" w:line="269" w:lineRule="auto"/>
      </w:pPr>
      <w:r>
        <w:rPr>
          <w:rFonts w:ascii="Aptos" w:hAnsi="Aptos" w:eastAsia="Noto Sans CJK TC"/>
          <w:b w:val="0"/>
          <w:i w:val="0"/>
          <w:color w:val="1F1F1F"/>
          <w:sz w:val="19"/>
        </w:rPr>
        <w:t>Mifkata，〈Claude Code: Spec-Driven Development (SDD)〉，2026-01-08；更新 2026-02-22。</w:t>
      </w:r>
      <w:hyperlink r:id="rId14">
        <w:r>
          <w:rPr>
            <w:rFonts w:ascii="Aptos" w:hAnsi="Aptos" w:eastAsia="Noto Sans CJK TC"/>
            <w:color w:val="2F75B5"/>
            <w:u w:val="single"/>
            <w:sz w:val="20"/>
          </w:rPr>
          <w:t>https://mifkata.com/blog/2026/01/claude-code-spec-driven-development/</w:t>
        </w:r>
      </w:hyperlink>
    </w:p>
    <w:p>
      <w:pPr>
        <w:keepNext w:val="0"/>
        <w:spacing w:before="0" w:after="80" w:line="269" w:lineRule="auto"/>
      </w:pPr>
      <w:r>
        <w:rPr>
          <w:rFonts w:ascii="Aptos" w:hAnsi="Aptos" w:eastAsia="Noto Sans CJK TC"/>
          <w:b w:val="0"/>
          <w:i w:val="0"/>
          <w:color w:val="1F1F1F"/>
          <w:sz w:val="19"/>
        </w:rPr>
        <w:t>GimaCode／騰訊雲開發者社群，〈規格驅動開發（SDD）：如何用 Claude Code + OpenSpec + Superpowers 在歷史專案中落地〉，2026-05-18（頁面標示修改日期）。</w:t>
      </w:r>
      <w:hyperlink r:id="rId15">
        <w:r>
          <w:rPr>
            <w:rFonts w:ascii="Aptos" w:hAnsi="Aptos" w:eastAsia="Noto Sans CJK TC"/>
            <w:color w:val="2F75B5"/>
            <w:u w:val="single"/>
            <w:sz w:val="20"/>
          </w:rPr>
          <w:t>https://cloud.tencent.com/developer/article/2670128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935" w:right="1077" w:bottom="879" w:left="1077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Noto Sans CJK TC"/>
        <w:b w:val="0"/>
        <w:i w:val="0"/>
        <w:color w:val="6666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69" w:lineRule="auto"/>
    </w:pPr>
    <w:r>
      <w:rPr>
        <w:rFonts w:ascii="Aptos" w:hAnsi="Aptos" w:eastAsia="Noto Sans CJK TC"/>
        <w:b/>
        <w:i w:val="0"/>
        <w:color w:val="17365D"/>
        <w:sz w:val="17"/>
      </w:rPr>
      <w:t>SDD 原始來源研究文件包｜SRC-06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Aptos" w:hAnsi="Aptos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Noto Sans CJK T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Noto Sans CJK TC"/>
      <w:b/>
      <w:bCs/>
      <w:color w:val="0F6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Noto Sans CJK TC"/>
      <w:b/>
      <w:bCs/>
      <w:color w:val="54823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Noto Sans CJK TC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Noto Sans CJK T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 w:eastAsia="Noto Sans CJK T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 w:eastAsia="Noto Sans CJK T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 w:eastAsia="Noto Sans CJK T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kaochenlong.com/sdd-spec-driven-development" TargetMode="External"/><Relationship Id="rId12" Type="http://schemas.openxmlformats.org/officeDocument/2006/relationships/hyperlink" Target="https://kaochenlong.com/spectra-app-2" TargetMode="External"/><Relationship Id="rId13" Type="http://schemas.openxmlformats.org/officeDocument/2006/relationships/hyperlink" Target="https://github.com/alfredoperez/sdd" TargetMode="External"/><Relationship Id="rId14" Type="http://schemas.openxmlformats.org/officeDocument/2006/relationships/hyperlink" Target="https://mifkata.com/blog/2026/01/claude-code-spec-driven-development/" TargetMode="External"/><Relationship Id="rId15" Type="http://schemas.openxmlformats.org/officeDocument/2006/relationships/hyperlink" Target="https://cloud.tencent.com/developer/article/267012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