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〈SDD 規格驅動開發〉方法論解析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從 Vibe Coding 風險到可驗證規格、EARS 與成熟度模型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SRC-01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SDD 規格驅動開發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69" w:lineRule="auto"/>
      </w:pPr>
      <w:r>
        <w:rPr>
          <w:rFonts w:ascii="Aptos" w:hAnsi="Aptos" w:eastAsia="Noto Sans CJK TC"/>
          <w:b/>
          <w:i w:val="0"/>
          <w:color w:val="0F6B78"/>
          <w:sz w:val="26"/>
        </w:rPr>
        <w:t>來源資訊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欄位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標題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SDD 規格驅動開發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作者／維護者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高見龍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2026-01-12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來源類型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方法論介紹／工具綜覽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檢索日期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</w:tbl>
    <w:p>
      <w:pPr>
        <w:keepNext w:val="0"/>
        <w:spacing w:before="80" w:after="80" w:line="269" w:lineRule="auto"/>
      </w:pPr>
      <w:r>
        <w:rPr>
          <w:rFonts w:ascii="Aptos" w:hAnsi="Aptos" w:eastAsia="Noto Sans CJK TC"/>
          <w:b/>
          <w:i w:val="0"/>
          <w:color w:val="17365D"/>
          <w:sz w:val="20"/>
        </w:rPr>
        <w:t>原始連結：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https://kaochenlong.com/sdd-spec-driven-development</w:t>
        </w:r>
      </w:hyperlink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文章要解決的問題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文章將 AI Coding 的主要風險歸因於「人與 AI 對完成條件沒有共同定義」。模糊指令會迫使模型自行補齊需求，導致漏做、過度實作、架構不一致，以及反覆修改時破壞既有功能。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6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  <w:insideH w:val="single" w:sz="6" w:color="0F6B78"/>
              <w:insideV w:val="single" w:sz="6" w:color="0F6B78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0F6B78"/>
                <w:sz w:val="20"/>
              </w:rPr>
              <w:t>專業判讀：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文章不是反對 Vibe Coding，而是主張依專案複雜度選擇方法；POC 與小工具可快速探索，長期維護與多人協作則需要規格錨定。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SDD 的三個階段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階段</w:t>
            </w:r>
          </w:p>
        </w:tc>
        <w:tc>
          <w:tcPr>
            <w:tcW w:type="dxa" w:w="226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主要產物</w:t>
            </w:r>
          </w:p>
        </w:tc>
        <w:tc>
          <w:tcPr>
            <w:tcW w:type="dxa" w:w="238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回答的問題</w:t>
            </w:r>
          </w:p>
        </w:tc>
        <w:tc>
          <w:tcPr>
            <w:tcW w:type="dxa" w:w="289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公司應增加的控制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Requirements</w:t>
            </w:r>
          </w:p>
        </w:tc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requirements.md、User Story、Acceptance Criteria</w:t>
            </w:r>
          </w:p>
        </w:tc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要做什麼？什麼叫完成？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需求 ID、來源、優先級、負向情境、NFR</w:t>
            </w:r>
          </w:p>
        </w:tc>
      </w:tr>
      <w:tr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Design</w:t>
            </w:r>
          </w:p>
        </w:tc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design.md、架構、資料模型、流程</w:t>
            </w:r>
          </w:p>
        </w:tc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準備如何實現？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替代方案、ADR、安全、回滾、可觀測性</w:t>
            </w:r>
          </w:p>
        </w:tc>
      </w:tr>
      <w:tr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Tasks</w:t>
            </w:r>
          </w:p>
        </w:tc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tasks.md、可追蹤小任務</w:t>
            </w:r>
          </w:p>
        </w:tc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由誰、依何順序完成？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依賴、Requirement/Test 追溯、完成證據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EARS 的價值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EARS 透過固定語序表達觸發條件與系統義務，將「順暢」、「安全」、「適當」等模糊形容詞轉成可驗證行為。其真正價值不只是讓 AI 看懂，而是讓人類能把需求轉成測試。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  <w:insideH w:val="single" w:sz="6" w:color="548235"/>
              <w:insideV w:val="single" w:sz="6" w:color="548235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548235"/>
                <w:sz w:val="20"/>
              </w:rPr>
              <w:t>範例：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WHEN 使用者連續登入失敗達 5 次，THEN 系統 SHALL 鎖定帳號 15 分鐘，AND SHALL 寫入稽核事件。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優點：減少猜測空間、易轉為測試、容易 Review。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限制：不擅長描述架構取捨、容量模型、UX 品質與資料治理，仍需 Design／NFR 補充。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公司化要求：每項 EARS 需求應有唯一 ID，並連結 Test Case 與 Change ID。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三種成熟度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層級</w:t>
            </w:r>
          </w:p>
        </w:tc>
        <w:tc>
          <w:tcPr>
            <w:tcW w:type="dxa" w:w="283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規格角色</w:t>
            </w:r>
          </w:p>
        </w:tc>
        <w:tc>
          <w:tcPr>
            <w:tcW w:type="dxa" w:w="266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適用情境</w:t>
            </w:r>
          </w:p>
        </w:tc>
        <w:tc>
          <w:tcPr>
            <w:tcW w:type="dxa" w:w="238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風險判斷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Spec-first</w:t>
            </w:r>
          </w:p>
        </w:tc>
        <w:tc>
          <w:tcPr>
            <w:tcW w:type="dxa" w:w="28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實作前的任務規格，完成後可能不再維護</w:t>
            </w:r>
          </w:p>
        </w:tc>
        <w:tc>
          <w:tcPr>
            <w:tcW w:type="dxa" w:w="266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短期功能、探索、低風險變更</w:t>
            </w:r>
          </w:p>
        </w:tc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容易形成文件漂移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Spec-anchored</w:t>
            </w:r>
          </w:p>
        </w:tc>
        <w:tc>
          <w:tcPr>
            <w:tcW w:type="dxa" w:w="28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規格納入 Git，隨系統長期更新</w:t>
            </w:r>
          </w:p>
        </w:tc>
        <w:tc>
          <w:tcPr>
            <w:tcW w:type="dxa" w:w="266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公司正式專案、跨人員與跨 AI 交接</w:t>
            </w:r>
          </w:p>
        </w:tc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最務實，需建立 Drift 與同步機制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Spec-as-source</w:t>
            </w:r>
          </w:p>
        </w:tc>
        <w:tc>
          <w:tcPr>
            <w:tcW w:type="dxa" w:w="28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只編輯規格，由工具產生程式碼</w:t>
            </w:r>
          </w:p>
        </w:tc>
        <w:tc>
          <w:tcPr>
            <w:tcW w:type="dxa" w:w="266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受限領域、生成式平台、研究 PoC</w:t>
            </w:r>
          </w:p>
        </w:tc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規格精度要求極高，LLM 非確定性仍存在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建議：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公司應以 Spec-anchored 為預設成熟度；Spec-as-source 只在可重建、可驗證、低不可逆風險的範圍試行。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工具版圖與 OpenSpec 重點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文章比較 Kiro、Spec Kit、Tessl 與 OpenSpec。對公司最有啟發的是 OpenSpec 的 Brownfield-first 分層：目前真相與本次變更分開管理，完成後再將變更合併回長期規格。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概念</w:t>
            </w:r>
          </w:p>
        </w:tc>
        <w:tc>
          <w:tcPr>
            <w:tcW w:type="dxa" w:w="36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原始文章重點</w:t>
            </w:r>
          </w:p>
        </w:tc>
        <w:tc>
          <w:tcPr>
            <w:tcW w:type="dxa" w:w="4139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公司化解讀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Constitution</w:t>
            </w:r>
          </w:p>
        </w:tc>
        <w:tc>
          <w:tcPr>
            <w:tcW w:type="dxa" w:w="36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由 Spec Kit 強調團隊原則與限制</w:t>
            </w:r>
          </w:p>
        </w:tc>
        <w:tc>
          <w:tcPr>
            <w:tcW w:type="dxa" w:w="413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應成為專案永久有效的可執行契約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Current Specs</w:t>
            </w:r>
          </w:p>
        </w:tc>
        <w:tc>
          <w:tcPr>
            <w:tcW w:type="dxa" w:w="36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OpenSpec 的 specs 存放目前系統應有狀態</w:t>
            </w:r>
          </w:p>
        </w:tc>
        <w:tc>
          <w:tcPr>
            <w:tcW w:type="dxa" w:w="413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對應 Living Specifications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Changes</w:t>
            </w:r>
          </w:p>
        </w:tc>
        <w:tc>
          <w:tcPr>
            <w:tcW w:type="dxa" w:w="36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proposal、變更規格與實作範圍</w:t>
            </w:r>
          </w:p>
        </w:tc>
        <w:tc>
          <w:tcPr>
            <w:tcW w:type="dxa" w:w="413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對應 Change Proposal／Requirements／Design／Tasks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Archive</w:t>
            </w:r>
          </w:p>
        </w:tc>
        <w:tc>
          <w:tcPr>
            <w:tcW w:type="dxa" w:w="36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完成後將變更回寫長期規格</w:t>
            </w:r>
          </w:p>
        </w:tc>
        <w:tc>
          <w:tcPr>
            <w:tcW w:type="dxa" w:w="413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應加入 Drift Check、Review 與證據保存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文章的強項與限制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評估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強項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中文敘事清楚；把 SDD、EARS、成熟度與工具版圖連在一起；提醒 SDD 不是萬靈丹。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限制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方法論層級較高，未完整涵蓋公司權責、資安、CI Gate、事故與例外管理。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最適合用途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主管簡報、團隊入門、建立 SDD 共通語言。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不應直接拿來做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不可單獨當作公司政策或完整 SDLC 作業程序。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對公司導入的直接結論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先定義完成條件，再允許 AI 實作。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將 Requirement、Design、Tasks 與 Code／Test 建立追溯。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正式專案採 Spec-anchored，規格必須進版本控制。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依變更風險調整流程重量，避免小變更過度文件化。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既有系統採漸進式補規格，不要求一次補完全部歷史。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高見龍，〈SDD 規格驅動開發〉，2026-01-12。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https://kaochenlong.com/sdd-spec-driven-development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ochenlong.com/sdd-spec-driven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