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60" w:line="269" w:lineRule="auto"/>
        <w:jc w:val="center"/>
      </w:pPr>
      <w:r>
        <w:rPr>
          <w:rFonts w:ascii="Aptos" w:hAnsi="Aptos" w:eastAsia="Noto Sans CJK TC"/>
          <w:b/>
          <w:i w:val="0"/>
          <w:color w:val="17365D"/>
          <w:sz w:val="48"/>
        </w:rPr>
        <w:t>SDD 術語、命令與角色速查手冊</w:t>
      </w:r>
    </w:p>
    <w:p>
      <w:pPr>
        <w:keepNext w:val="0"/>
        <w:spacing w:before="0" w:after="320" w:line="269" w:lineRule="auto"/>
        <w:jc w:val="center"/>
      </w:pPr>
      <w:r>
        <w:rPr>
          <w:rFonts w:ascii="Aptos" w:hAnsi="Aptos" w:eastAsia="Noto Sans CJK TC"/>
          <w:b w:val="0"/>
          <w:i w:val="0"/>
          <w:color w:val="0F6B78"/>
          <w:sz w:val="23"/>
        </w:rPr>
        <w:t>五來源共同字彙、工具命令、Artifact 與公司角色快速對照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文件編號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SRC-08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文件性質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來源摘要、分析與公司導入參考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檢索日期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來源範圍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SDD 規格驅動開發、Spectra 2.0、alfredoperez/sdd、Claude Code: Spec-Driven Development (SDD)、規格驅動開發（SDD）：如何用 Claude Code + OpenSpec + Superpowers 在歷史專案中落地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使用聲明：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本文件是對原始網站內容的摘要、比較與評論，不是原文重製或官方文件。實際導入前，應回到原始來源確認版本、命令與工具限制。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1. 核心術語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84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術語</w:t>
            </w:r>
          </w:p>
        </w:tc>
        <w:tc>
          <w:tcPr>
            <w:tcW w:type="dxa" w:w="3969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中文解釋</w:t>
            </w:r>
          </w:p>
        </w:tc>
        <w:tc>
          <w:tcPr>
            <w:tcW w:type="dxa" w:w="357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使用判斷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SDD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Spec-Driven Development，規格驅動開發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先定義需求、設計、任務與驗證，再實作</w:t>
            </w:r>
          </w:p>
        </w:tc>
      </w:tr>
      <w:tr>
        <w:tc>
          <w:tcPr>
            <w:tcW w:type="dxa" w:w="198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Spec-first</w:t>
            </w:r>
          </w:p>
        </w:tc>
        <w:tc>
          <w:tcPr>
            <w:tcW w:type="dxa" w:w="396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先寫規格，但可能只服務單次任務</w:t>
            </w:r>
          </w:p>
        </w:tc>
        <w:tc>
          <w:tcPr>
            <w:tcW w:type="dxa" w:w="357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適合短期或低風險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Spec-anchored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規格進版本控制並持續更新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公司正式專案建議預設</w:t>
            </w:r>
          </w:p>
        </w:tc>
      </w:tr>
      <w:tr>
        <w:tc>
          <w:tcPr>
            <w:tcW w:type="dxa" w:w="198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Spec-as-source</w:t>
            </w:r>
          </w:p>
        </w:tc>
        <w:tc>
          <w:tcPr>
            <w:tcW w:type="dxa" w:w="396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規格是唯一來源，程式碼由規格產生</w:t>
            </w:r>
          </w:p>
        </w:tc>
        <w:tc>
          <w:tcPr>
            <w:tcW w:type="dxa" w:w="357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高成熟度實驗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EARS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固定條件與 SHALL 行為的需求語法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適合可測試行為需求</w:t>
            </w:r>
          </w:p>
        </w:tc>
      </w:tr>
      <w:tr>
        <w:tc>
          <w:tcPr>
            <w:tcW w:type="dxa" w:w="198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Constitution</w:t>
            </w:r>
          </w:p>
        </w:tc>
        <w:tc>
          <w:tcPr>
            <w:tcW w:type="dxa" w:w="396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專案永久有效的可執行規則</w:t>
            </w:r>
          </w:p>
        </w:tc>
        <w:tc>
          <w:tcPr>
            <w:tcW w:type="dxa" w:w="357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不得與單次 Change 混用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Living Spec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描述目前系統真相的長期規格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完成 Change 後需同步</w:t>
            </w:r>
          </w:p>
        </w:tc>
      </w:tr>
      <w:tr>
        <w:tc>
          <w:tcPr>
            <w:tcW w:type="dxa" w:w="198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Change Spec</w:t>
            </w:r>
          </w:p>
        </w:tc>
        <w:tc>
          <w:tcPr>
            <w:tcW w:type="dxa" w:w="396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描述本次新增、修改、移除與改名</w:t>
            </w:r>
          </w:p>
        </w:tc>
        <w:tc>
          <w:tcPr>
            <w:tcW w:type="dxa" w:w="357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進入實作前需核准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Drift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Spec、Code、Test 或環境之間偏離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應分類、修正或限期接受</w:t>
            </w:r>
          </w:p>
        </w:tc>
      </w:tr>
      <w:tr>
        <w:tc>
          <w:tcPr>
            <w:tcW w:type="dxa" w:w="198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Context Pack</w:t>
            </w:r>
          </w:p>
        </w:tc>
        <w:tc>
          <w:tcPr>
            <w:tcW w:type="dxa" w:w="396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重建 Agent／人員上下文的正式 Artifact 組</w:t>
            </w:r>
          </w:p>
        </w:tc>
        <w:tc>
          <w:tcPr>
            <w:tcW w:type="dxa" w:w="357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不可依賴原聊天</w:t>
            </w:r>
          </w:p>
        </w:tc>
      </w:tr>
      <w:tr>
        <w:tc>
          <w:tcPr>
            <w:tcW w:type="dxa" w:w="198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Brownfield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既有系統與歷史限制的開發環境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先讀現況，再做 Change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2. Spectra 命令速查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命令</w:t>
            </w:r>
          </w:p>
        </w:tc>
        <w:tc>
          <w:tcPr>
            <w:tcW w:type="dxa" w:w="340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379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公司控制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/spectra:discuss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有目的的方案討論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結論需寫入 Spec／ADR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/spectra:propose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建立 proposal、spec、design、tasks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輸出需 Review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/spectra:apply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執行核准任務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不得擴張 Scope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/spectra:ingest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把新討論吸收進規格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變更後重新 Gate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/spectra:archive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完成後歸檔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先做 Test、Drift、Living Sync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/spectra:tdd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Red-Green-Refactor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測試仍需獨立審查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/spectra:debug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系統化除錯，限制重複方向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記錄假設、證據與回歸測試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/spectra:ask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對 Spec 做自然語言查詢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回答回原始 Artifact 核對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3. Alfredo SDD Plugin 命令速查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命令</w:t>
            </w:r>
          </w:p>
        </w:tc>
        <w:tc>
          <w:tcPr>
            <w:tcW w:type="dxa" w:w="340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379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關鍵特性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/sdd:auto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自動跑完整流程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Normal 在 Spec 後停下 Review；Minimal 可快速通過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/sdd:specify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建立 Feature Spec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掃描程式碼並判斷複雜度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/sdd:plan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建立技術方案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可檢查 Principles／Domains／ADR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/sdd:tasks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拆分分階段任務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支援 [P] 平行候選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/sdd:implement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實作、Checkpoint、Commit／PR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狀態化續跑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/sdd:resume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依 next 前進一步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Context Loss 恢復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/sdd:pause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阻止 Auto 前進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等待決策／依賴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/sdd:status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顯示全部 Spec 狀態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工作儀表板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/sdd:drift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偵測 tracked／unspeced Drift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周邊流程決定是否阻擋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/sdd:adr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建立 ADR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重大設計決策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4. Mifkata 命令速查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命令</w:t>
            </w:r>
          </w:p>
        </w:tc>
        <w:tc>
          <w:tcPr>
            <w:tcW w:type="dxa" w:w="340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379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注意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/spec-create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建立元件／頁面 Spec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先建立可重複 Pattern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/spec-compact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壓縮 Spec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不可刪除限制與驗收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/spec-apply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依 Spec 實作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需 Review Scope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/spec-verify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比較 Spec 與程式碼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不得自動以 Code 為準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/spec-update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維護 Spec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保留變更原因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/spec-refactor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全專案重構</w:t>
            </w:r>
          </w:p>
        </w:tc>
        <w:tc>
          <w:tcPr>
            <w:tcW w:type="dxa" w:w="379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需影響分析與 Regression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/test-create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建立測試</w:t>
            </w:r>
          </w:p>
        </w:tc>
        <w:tc>
          <w:tcPr>
            <w:tcW w:type="dxa" w:w="379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檢查是否覆蓋負向與邊界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5. Artifact 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Artifact</w:t>
            </w:r>
          </w:p>
        </w:tc>
        <w:tc>
          <w:tcPr>
            <w:tcW w:type="dxa" w:w="4309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主要內容</w:t>
            </w:r>
          </w:p>
        </w:tc>
        <w:tc>
          <w:tcPr>
            <w:tcW w:type="dxa" w:w="289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權威性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Constitution</w:t>
            </w:r>
          </w:p>
        </w:tc>
        <w:tc>
          <w:tcPr>
            <w:tcW w:type="dxa" w:w="430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原則、禁止事項、測試與完成標準</w:t>
            </w:r>
          </w:p>
        </w:tc>
        <w:tc>
          <w:tcPr>
            <w:tcW w:type="dxa" w:w="28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專案最高技術規則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Proposal</w:t>
            </w:r>
          </w:p>
        </w:tc>
        <w:tc>
          <w:tcPr>
            <w:tcW w:type="dxa" w:w="430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問題、價值、範圍、影響與成功指標</w:t>
            </w:r>
          </w:p>
        </w:tc>
        <w:tc>
          <w:tcPr>
            <w:tcW w:type="dxa" w:w="28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變更是否值得開始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Requirements／NFR</w:t>
            </w:r>
          </w:p>
        </w:tc>
        <w:tc>
          <w:tcPr>
            <w:tcW w:type="dxa" w:w="430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行為、驗收、效能、安全、可用性</w:t>
            </w:r>
          </w:p>
        </w:tc>
        <w:tc>
          <w:tcPr>
            <w:tcW w:type="dxa" w:w="28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實作與測試契約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Design／ADR</w:t>
            </w:r>
          </w:p>
        </w:tc>
        <w:tc>
          <w:tcPr>
            <w:tcW w:type="dxa" w:w="430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方案、取捨、資料、介面、Migration、Rollback</w:t>
            </w:r>
          </w:p>
        </w:tc>
        <w:tc>
          <w:tcPr>
            <w:tcW w:type="dxa" w:w="28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技術決策依據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Tasks／State</w:t>
            </w:r>
          </w:p>
        </w:tc>
        <w:tc>
          <w:tcPr>
            <w:tcW w:type="dxa" w:w="430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工作單位、依賴、目前階段、下一步</w:t>
            </w:r>
          </w:p>
        </w:tc>
        <w:tc>
          <w:tcPr>
            <w:tcW w:type="dxa" w:w="28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執行與交接依據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Test Evidence</w:t>
            </w:r>
          </w:p>
        </w:tc>
        <w:tc>
          <w:tcPr>
            <w:tcW w:type="dxa" w:w="430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測試結果、Log、報告、例外</w:t>
            </w:r>
          </w:p>
        </w:tc>
        <w:tc>
          <w:tcPr>
            <w:tcW w:type="dxa" w:w="28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完成證據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Release／Rollback</w:t>
            </w:r>
          </w:p>
        </w:tc>
        <w:tc>
          <w:tcPr>
            <w:tcW w:type="dxa" w:w="430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部署步驟、Trigger、監控與溝通</w:t>
            </w:r>
          </w:p>
        </w:tc>
        <w:tc>
          <w:tcPr>
            <w:tcW w:type="dxa" w:w="28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上線控制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Living Spec／Closure</w:t>
            </w:r>
          </w:p>
        </w:tc>
        <w:tc>
          <w:tcPr>
            <w:tcW w:type="dxa" w:w="430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目前真相、同步與經驗沉澱</w:t>
            </w:r>
          </w:p>
        </w:tc>
        <w:tc>
          <w:tcPr>
            <w:tcW w:type="dxa" w:w="28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後續 Change 的上下文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6. 公司角色與不可委派事項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38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368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主要責任</w:t>
            </w:r>
          </w:p>
        </w:tc>
        <w:tc>
          <w:tcPr>
            <w:tcW w:type="dxa" w:w="340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AI 不可取代的事項</w:t>
            </w:r>
          </w:p>
        </w:tc>
      </w:tr>
      <w:tr>
        <w:tc>
          <w:tcPr>
            <w:tcW w:type="dxa" w:w="238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Business／Product Owner</w:t>
            </w:r>
          </w:p>
        </w:tc>
        <w:tc>
          <w:tcPr>
            <w:tcW w:type="dxa" w:w="368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目標、範圍、優先級與驗收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商業需求核准與價值判斷</w:t>
            </w:r>
          </w:p>
        </w:tc>
      </w:tr>
      <w:tr>
        <w:tc>
          <w:tcPr>
            <w:tcW w:type="dxa" w:w="238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Architect／Tech Lead</w:t>
            </w:r>
          </w:p>
        </w:tc>
        <w:tc>
          <w:tcPr>
            <w:tcW w:type="dxa" w:w="368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架構、取捨、相依與技術風險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Architecture Decision 與例外核准</w:t>
            </w:r>
          </w:p>
        </w:tc>
      </w:tr>
      <w:tr>
        <w:tc>
          <w:tcPr>
            <w:tcW w:type="dxa" w:w="238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Developer／Agent</w:t>
            </w:r>
          </w:p>
        </w:tc>
        <w:tc>
          <w:tcPr>
            <w:tcW w:type="dxa" w:w="368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依核准 Task 實作與回報證據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不得自行擴張需求</w:t>
            </w:r>
          </w:p>
        </w:tc>
      </w:tr>
      <w:tr>
        <w:tc>
          <w:tcPr>
            <w:tcW w:type="dxa" w:w="238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QA</w:t>
            </w:r>
          </w:p>
        </w:tc>
        <w:tc>
          <w:tcPr>
            <w:tcW w:type="dxa" w:w="368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測試策略、證據與缺陷判定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獨立驗收與 Release 建議</w:t>
            </w:r>
          </w:p>
        </w:tc>
      </w:tr>
      <w:tr>
        <w:tc>
          <w:tcPr>
            <w:tcW w:type="dxa" w:w="238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Security</w:t>
            </w:r>
          </w:p>
        </w:tc>
        <w:tc>
          <w:tcPr>
            <w:tcW w:type="dxa" w:w="368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資料、權限、威脅與供應鏈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風險接受與安全例外</w:t>
            </w:r>
          </w:p>
        </w:tc>
      </w:tr>
      <w:tr>
        <w:tc>
          <w:tcPr>
            <w:tcW w:type="dxa" w:w="238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DevOps／SRE</w:t>
            </w:r>
          </w:p>
        </w:tc>
        <w:tc>
          <w:tcPr>
            <w:tcW w:type="dxa" w:w="368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部署、監控、Rollback、事故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Production Go／No-Go 與回滾決策</w:t>
            </w:r>
          </w:p>
        </w:tc>
      </w:tr>
      <w:tr>
        <w:tc>
          <w:tcPr>
            <w:tcW w:type="dxa" w:w="238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SDD Process Owner</w:t>
            </w:r>
          </w:p>
        </w:tc>
        <w:tc>
          <w:tcPr>
            <w:tcW w:type="dxa" w:w="368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流程、模板、稽核與改進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制度例外與流程版本核准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7. 快速決策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453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問題</w:t>
            </w:r>
          </w:p>
        </w:tc>
        <w:tc>
          <w:tcPr>
            <w:tcW w:type="dxa" w:w="493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回答為「是」時</w:t>
            </w:r>
          </w:p>
        </w:tc>
      </w:tr>
      <w:tr>
        <w:tc>
          <w:tcPr>
            <w:tcW w:type="dxa" w:w="453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是否涉及公開 API、資料 Schema、權限、付款、敏感資料或不可逆操作？</w:t>
            </w:r>
          </w:p>
        </w:tc>
        <w:tc>
          <w:tcPr>
            <w:tcW w:type="dxa" w:w="493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使用完整 SDD + ADR + Security + Rollback Gate。</w:t>
            </w:r>
          </w:p>
        </w:tc>
      </w:tr>
      <w:tr>
        <w:tc>
          <w:tcPr>
            <w:tcW w:type="dxa" w:w="453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是否為既有系統？</w:t>
            </w:r>
          </w:p>
        </w:tc>
        <w:tc>
          <w:tcPr>
            <w:tcW w:type="dxa" w:w="493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先讀 Code／Living Specs，列出 Affected Specs／Code。</w:t>
            </w:r>
          </w:p>
        </w:tc>
      </w:tr>
      <w:tr>
        <w:tc>
          <w:tcPr>
            <w:tcW w:type="dxa" w:w="453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是否會中斷多個 Session 或切換人員／AI？</w:t>
            </w:r>
          </w:p>
        </w:tc>
        <w:tc>
          <w:tcPr>
            <w:tcW w:type="dxa" w:w="493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建立 Execution State、Handoff 與 Context Pack。</w:t>
            </w:r>
          </w:p>
        </w:tc>
      </w:tr>
      <w:tr>
        <w:tc>
          <w:tcPr>
            <w:tcW w:type="dxa" w:w="453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是否要讓 Code 回寫 Spec？</w:t>
            </w:r>
          </w:p>
        </w:tc>
        <w:tc>
          <w:tcPr>
            <w:tcW w:type="dxa" w:w="493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先取得具名決策與 Test Evidence。</w:t>
            </w:r>
          </w:p>
        </w:tc>
      </w:tr>
      <w:tr>
        <w:tc>
          <w:tcPr>
            <w:tcW w:type="dxa" w:w="453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是否要平行交給多個 Agent？</w:t>
            </w:r>
          </w:p>
        </w:tc>
        <w:tc>
          <w:tcPr>
            <w:tcW w:type="dxa" w:w="493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確認檔案、資料、API、環境與共享資源皆無依賴。</w:t>
            </w:r>
          </w:p>
        </w:tc>
      </w:tr>
      <w:tr>
        <w:tc>
          <w:tcPr>
            <w:tcW w:type="dxa" w:w="453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是否準備 Archive？</w:t>
            </w:r>
          </w:p>
        </w:tc>
        <w:tc>
          <w:tcPr>
            <w:tcW w:type="dxa" w:w="493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先完成 Test、Drift、Living Sync、Release Evidence。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參考來源</w:t>
      </w:r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高見龍，〈SDD 規格驅動開發〉，2026-01-12。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https://kaochenlong.com/sdd-spec-driven-development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高見龍，〈Spectra 2.0〉，2026-03-02。</w:t>
      </w:r>
      <w:hyperlink r:id="rId12">
        <w:r>
          <w:rPr>
            <w:rFonts w:ascii="Aptos" w:hAnsi="Aptos" w:eastAsia="Noto Sans CJK TC"/>
            <w:color w:val="2F75B5"/>
            <w:u w:val="single"/>
            <w:sz w:val="20"/>
          </w:rPr>
          <w:t>https://kaochenlong.com/spectra-app-2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Alfredo Perez，〈alfredoperez/sdd〉，Repository；v1.0.0 於 2026-03-08，Changelog 最新記錄 v1.24.0（2026-05-23）。</w:t>
      </w:r>
      <w:hyperlink r:id="rId13">
        <w:r>
          <w:rPr>
            <w:rFonts w:ascii="Aptos" w:hAnsi="Aptos" w:eastAsia="Noto Sans CJK TC"/>
            <w:color w:val="2F75B5"/>
            <w:u w:val="single"/>
            <w:sz w:val="20"/>
          </w:rPr>
          <w:t>https://github.com/alfredoperez/sdd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Mifkata，〈Claude Code: Spec-Driven Development (SDD)〉，2026-01-08；更新 2026-02-22。</w:t>
      </w:r>
      <w:hyperlink r:id="rId14">
        <w:r>
          <w:rPr>
            <w:rFonts w:ascii="Aptos" w:hAnsi="Aptos" w:eastAsia="Noto Sans CJK TC"/>
            <w:color w:val="2F75B5"/>
            <w:u w:val="single"/>
            <w:sz w:val="20"/>
          </w:rPr>
          <w:t>https://mifkata.com/blog/2026/01/claude-code-spec-driven-development/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GimaCode／騰訊雲開發者社群，〈規格驅動開發（SDD）：如何用 Claude Code + OpenSpec + Superpowers 在歷史專案中落地〉，2026-05-18（頁面標示修改日期）。</w:t>
      </w:r>
      <w:hyperlink r:id="rId15">
        <w:r>
          <w:rPr>
            <w:rFonts w:ascii="Aptos" w:hAnsi="Aptos" w:eastAsia="Noto Sans CJK TC"/>
            <w:color w:val="2F75B5"/>
            <w:u w:val="single"/>
            <w:sz w:val="20"/>
          </w:rPr>
          <w:t>https://cloud.tencent.com/developer/article/2670128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77" w:bottom="879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TC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9" w:lineRule="auto"/>
    </w:pPr>
    <w:r>
      <w:rPr>
        <w:rFonts w:ascii="Aptos" w:hAnsi="Aptos" w:eastAsia="Noto Sans CJK TC"/>
        <w:b/>
        <w:i w:val="0"/>
        <w:color w:val="17365D"/>
        <w:sz w:val="17"/>
      </w:rPr>
      <w:t>SDD 原始來源研究文件包｜SRC-08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T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T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T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T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kaochenlong.com/sdd-spec-driven-development" TargetMode="External"/><Relationship Id="rId12" Type="http://schemas.openxmlformats.org/officeDocument/2006/relationships/hyperlink" Target="https://kaochenlong.com/spectra-app-2" TargetMode="External"/><Relationship Id="rId13" Type="http://schemas.openxmlformats.org/officeDocument/2006/relationships/hyperlink" Target="https://github.com/alfredoperez/sdd" TargetMode="External"/><Relationship Id="rId14" Type="http://schemas.openxmlformats.org/officeDocument/2006/relationships/hyperlink" Target="https://mifkata.com/blog/2026/01/claude-code-spec-driven-development/" TargetMode="External"/><Relationship Id="rId15" Type="http://schemas.openxmlformats.org/officeDocument/2006/relationships/hyperlink" Target="https://cloud.tencent.com/developer/article/2670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