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C71" w:rsidRPr="00C84D8B" w:rsidRDefault="00BA4C71" w:rsidP="002256BB">
      <w:pPr>
        <w:spacing w:line="360" w:lineRule="auto"/>
        <w:rPr>
          <w:rFonts w:ascii="Verdana" w:hAnsi="Verdana"/>
          <w:sz w:val="20"/>
          <w:szCs w:val="20"/>
        </w:rPr>
      </w:pPr>
      <w:r w:rsidRPr="00C84D8B">
        <w:rPr>
          <w:rFonts w:ascii="Verdana" w:hAnsi="Verdana"/>
          <w:sz w:val="20"/>
          <w:szCs w:val="20"/>
        </w:rPr>
        <w:t>Basis der Anmerkungen sind die Ratsdokument</w:t>
      </w:r>
      <w:r w:rsidR="00E908F8">
        <w:rPr>
          <w:rFonts w:ascii="Verdana" w:hAnsi="Verdana"/>
          <w:sz w:val="20"/>
          <w:szCs w:val="20"/>
        </w:rPr>
        <w:t>e</w:t>
      </w:r>
      <w:r w:rsidRPr="00C84D8B">
        <w:rPr>
          <w:rFonts w:ascii="Verdana" w:hAnsi="Verdana"/>
          <w:sz w:val="20"/>
          <w:szCs w:val="20"/>
        </w:rPr>
        <w:t xml:space="preserve"> 12312/1/14 v</w:t>
      </w:r>
      <w:r w:rsidR="00E908F8">
        <w:rPr>
          <w:rFonts w:ascii="Verdana" w:hAnsi="Verdana"/>
          <w:sz w:val="20"/>
          <w:szCs w:val="20"/>
        </w:rPr>
        <w:t>om</w:t>
      </w:r>
      <w:r w:rsidRPr="00C84D8B">
        <w:rPr>
          <w:rFonts w:ascii="Verdana" w:hAnsi="Verdana"/>
          <w:sz w:val="20"/>
          <w:szCs w:val="20"/>
        </w:rPr>
        <w:t xml:space="preserve"> 17.9.2014 bzw. 11028/14 vom 30.06.2014</w:t>
      </w:r>
    </w:p>
    <w:p w:rsidR="00BA4C71" w:rsidRPr="00C84D8B" w:rsidRDefault="00BA4C71" w:rsidP="002256BB">
      <w:pPr>
        <w:spacing w:line="360" w:lineRule="auto"/>
        <w:rPr>
          <w:rFonts w:ascii="Verdana" w:hAnsi="Verdana"/>
          <w:b/>
          <w:bCs/>
          <w:sz w:val="20"/>
          <w:szCs w:val="20"/>
          <w:lang w:eastAsia="de-DE"/>
        </w:rPr>
      </w:pPr>
    </w:p>
    <w:p w:rsidR="0059561A" w:rsidRPr="00C84D8B" w:rsidRDefault="0059561A" w:rsidP="002256BB">
      <w:pPr>
        <w:spacing w:line="360" w:lineRule="auto"/>
        <w:rPr>
          <w:rFonts w:ascii="Verdana" w:hAnsi="Verdana"/>
          <w:b/>
          <w:bCs/>
          <w:sz w:val="20"/>
          <w:szCs w:val="20"/>
          <w:lang w:eastAsia="de-DE"/>
        </w:rPr>
      </w:pPr>
    </w:p>
    <w:p w:rsidR="0059561A" w:rsidRPr="00E908F8" w:rsidRDefault="0059561A" w:rsidP="00E908F8">
      <w:pPr>
        <w:pStyle w:val="StandardWeb"/>
        <w:spacing w:before="0" w:beforeAutospacing="0" w:after="0" w:afterAutospacing="0"/>
        <w:rPr>
          <w:rFonts w:ascii="Verdana" w:hAnsi="Verdana"/>
          <w:b/>
          <w:sz w:val="22"/>
          <w:szCs w:val="22"/>
        </w:rPr>
      </w:pPr>
      <w:r w:rsidRPr="00E908F8">
        <w:rPr>
          <w:rFonts w:ascii="Verdana" w:hAnsi="Verdana"/>
          <w:b/>
          <w:sz w:val="22"/>
          <w:szCs w:val="22"/>
        </w:rPr>
        <w:t>Art. 4 Abs. 3</w:t>
      </w:r>
      <w:r w:rsidR="00EB7721" w:rsidRPr="00E908F8">
        <w:rPr>
          <w:rFonts w:ascii="Verdana" w:hAnsi="Verdana"/>
          <w:b/>
          <w:sz w:val="22"/>
          <w:szCs w:val="22"/>
        </w:rPr>
        <w:t xml:space="preserve"> / Definitionen</w:t>
      </w:r>
    </w:p>
    <w:p w:rsidR="0059561A" w:rsidRPr="00C84D8B" w:rsidRDefault="0059561A" w:rsidP="00EB7721">
      <w:pPr>
        <w:rPr>
          <w:rFonts w:ascii="Verdana" w:hAnsi="Verdana"/>
          <w:color w:val="000000"/>
          <w:sz w:val="20"/>
          <w:szCs w:val="20"/>
          <w:lang w:eastAsia="de-DE"/>
        </w:rPr>
      </w:pPr>
      <w:r w:rsidRPr="00C84D8B">
        <w:rPr>
          <w:rFonts w:ascii="Verdana" w:hAnsi="Verdana"/>
          <w:color w:val="000000"/>
          <w:sz w:val="20"/>
          <w:szCs w:val="20"/>
          <w:lang w:eastAsia="de-DE"/>
        </w:rPr>
        <w:t>Die Definition von „</w:t>
      </w:r>
      <w:proofErr w:type="spellStart"/>
      <w:r w:rsidRPr="00C84D8B">
        <w:rPr>
          <w:rFonts w:ascii="Verdana" w:hAnsi="Verdana"/>
          <w:color w:val="000000"/>
          <w:sz w:val="20"/>
          <w:szCs w:val="20"/>
          <w:lang w:eastAsia="de-DE"/>
        </w:rPr>
        <w:t>processing</w:t>
      </w:r>
      <w:proofErr w:type="spellEnd"/>
      <w:r w:rsidRPr="00C84D8B">
        <w:rPr>
          <w:rFonts w:ascii="Verdana" w:hAnsi="Verdana"/>
          <w:color w:val="000000"/>
          <w:sz w:val="20"/>
          <w:szCs w:val="20"/>
          <w:lang w:eastAsia="de-DE"/>
        </w:rPr>
        <w:t xml:space="preserve">“ unterscheidet nicht zwischen </w:t>
      </w:r>
      <w:r w:rsidR="00EB7721" w:rsidRPr="00C84D8B">
        <w:rPr>
          <w:rFonts w:ascii="Verdana" w:hAnsi="Verdana"/>
          <w:color w:val="000000"/>
          <w:sz w:val="20"/>
          <w:szCs w:val="20"/>
          <w:lang w:eastAsia="de-DE"/>
        </w:rPr>
        <w:t>V</w:t>
      </w:r>
      <w:r w:rsidRPr="00C84D8B">
        <w:rPr>
          <w:rFonts w:ascii="Verdana" w:hAnsi="Verdana"/>
          <w:color w:val="000000"/>
          <w:sz w:val="20"/>
          <w:szCs w:val="20"/>
          <w:lang w:eastAsia="de-DE"/>
        </w:rPr>
        <w:t>erarbeiten als Haupt</w:t>
      </w:r>
      <w:r w:rsidR="00BA4C71" w:rsidRPr="00C84D8B">
        <w:rPr>
          <w:rFonts w:ascii="Verdana" w:hAnsi="Verdana"/>
          <w:color w:val="000000"/>
          <w:sz w:val="20"/>
          <w:szCs w:val="20"/>
          <w:lang w:eastAsia="de-DE"/>
        </w:rPr>
        <w:t>-</w:t>
      </w:r>
      <w:r w:rsidRPr="00C84D8B">
        <w:rPr>
          <w:rFonts w:ascii="Verdana" w:hAnsi="Verdana"/>
          <w:color w:val="000000"/>
          <w:sz w:val="20"/>
          <w:szCs w:val="20"/>
          <w:lang w:eastAsia="de-DE"/>
        </w:rPr>
        <w:t xml:space="preserve"> oder- Nebenleistung. Die</w:t>
      </w:r>
      <w:r w:rsidR="00E908F8">
        <w:rPr>
          <w:rFonts w:ascii="Verdana" w:hAnsi="Verdana"/>
          <w:color w:val="000000"/>
          <w:sz w:val="20"/>
          <w:szCs w:val="20"/>
          <w:lang w:eastAsia="de-DE"/>
        </w:rPr>
        <w:t>s</w:t>
      </w:r>
      <w:r w:rsidRPr="00C84D8B">
        <w:rPr>
          <w:rFonts w:ascii="Verdana" w:hAnsi="Verdana"/>
          <w:color w:val="000000"/>
          <w:sz w:val="20"/>
          <w:szCs w:val="20"/>
          <w:lang w:eastAsia="de-DE"/>
        </w:rPr>
        <w:t xml:space="preserve"> wirkt sich spätestens bei den Regelunge</w:t>
      </w:r>
      <w:r w:rsidR="00E908F8">
        <w:rPr>
          <w:rFonts w:ascii="Verdana" w:hAnsi="Verdana"/>
          <w:color w:val="000000"/>
          <w:sz w:val="20"/>
          <w:szCs w:val="20"/>
          <w:lang w:eastAsia="de-DE"/>
        </w:rPr>
        <w:t>n</w:t>
      </w:r>
      <w:r w:rsidRPr="00C84D8B">
        <w:rPr>
          <w:rFonts w:ascii="Verdana" w:hAnsi="Verdana"/>
          <w:color w:val="000000"/>
          <w:sz w:val="20"/>
          <w:szCs w:val="20"/>
          <w:lang w:eastAsia="de-DE"/>
        </w:rPr>
        <w:t xml:space="preserve"> zu</w:t>
      </w:r>
      <w:r w:rsidR="00E908F8">
        <w:rPr>
          <w:rFonts w:ascii="Verdana" w:hAnsi="Verdana"/>
          <w:color w:val="000000"/>
          <w:sz w:val="20"/>
          <w:szCs w:val="20"/>
          <w:lang w:eastAsia="de-DE"/>
        </w:rPr>
        <w:t xml:space="preserve"> den Informationspflichten und zu</w:t>
      </w:r>
      <w:r w:rsidR="00EB7721" w:rsidRPr="00C84D8B">
        <w:rPr>
          <w:rFonts w:ascii="Verdana" w:hAnsi="Verdana"/>
          <w:color w:val="000000"/>
          <w:sz w:val="20"/>
          <w:szCs w:val="20"/>
          <w:lang w:eastAsia="de-DE"/>
        </w:rPr>
        <w:t xml:space="preserve"> den</w:t>
      </w:r>
      <w:r w:rsidRPr="00C84D8B">
        <w:rPr>
          <w:rFonts w:ascii="Verdana" w:hAnsi="Verdana"/>
          <w:color w:val="000000"/>
          <w:sz w:val="20"/>
          <w:szCs w:val="20"/>
          <w:lang w:eastAsia="de-DE"/>
        </w:rPr>
        <w:t xml:space="preserve"> </w:t>
      </w:r>
      <w:proofErr w:type="spellStart"/>
      <w:r w:rsidR="001426EB">
        <w:rPr>
          <w:rFonts w:ascii="Verdana" w:hAnsi="Verdana"/>
          <w:color w:val="000000"/>
          <w:sz w:val="20"/>
          <w:szCs w:val="20"/>
          <w:lang w:eastAsia="de-DE"/>
        </w:rPr>
        <w:t>Processors</w:t>
      </w:r>
      <w:proofErr w:type="spellEnd"/>
      <w:r w:rsidR="001426EB" w:rsidRPr="00C84D8B">
        <w:rPr>
          <w:rFonts w:ascii="Verdana" w:hAnsi="Verdana"/>
          <w:color w:val="000000"/>
          <w:sz w:val="20"/>
          <w:szCs w:val="20"/>
          <w:lang w:eastAsia="de-DE"/>
        </w:rPr>
        <w:t xml:space="preserve"> </w:t>
      </w:r>
      <w:r w:rsidRPr="00C84D8B">
        <w:rPr>
          <w:rFonts w:ascii="Verdana" w:hAnsi="Verdana"/>
          <w:color w:val="000000"/>
          <w:sz w:val="20"/>
          <w:szCs w:val="20"/>
          <w:lang w:eastAsia="de-DE"/>
        </w:rPr>
        <w:t>aus.</w:t>
      </w:r>
    </w:p>
    <w:p w:rsidR="00BA4C71" w:rsidRPr="00C84D8B" w:rsidRDefault="00BA4C71" w:rsidP="00EB7721">
      <w:pPr>
        <w:rPr>
          <w:rFonts w:ascii="Verdana" w:hAnsi="Verdana"/>
          <w:b/>
          <w:color w:val="000000"/>
          <w:sz w:val="20"/>
          <w:szCs w:val="20"/>
          <w:lang w:eastAsia="de-DE"/>
        </w:rPr>
      </w:pPr>
    </w:p>
    <w:p w:rsidR="00EB7721" w:rsidRPr="00C84D8B" w:rsidRDefault="0059561A" w:rsidP="00EB7721">
      <w:pPr>
        <w:rPr>
          <w:rFonts w:ascii="Verdana" w:hAnsi="Verdana"/>
          <w:color w:val="000000"/>
          <w:sz w:val="20"/>
          <w:szCs w:val="20"/>
          <w:lang w:eastAsia="de-DE"/>
        </w:rPr>
      </w:pPr>
      <w:r w:rsidRPr="00C84D8B">
        <w:rPr>
          <w:rFonts w:ascii="Verdana" w:hAnsi="Verdana"/>
          <w:b/>
          <w:color w:val="000000"/>
          <w:sz w:val="20"/>
          <w:szCs w:val="20"/>
          <w:lang w:eastAsia="de-DE"/>
        </w:rPr>
        <w:t>Empfehlung</w:t>
      </w:r>
      <w:r w:rsidRPr="00C84D8B">
        <w:rPr>
          <w:rFonts w:ascii="Verdana" w:hAnsi="Verdana"/>
          <w:color w:val="000000"/>
          <w:sz w:val="20"/>
          <w:szCs w:val="20"/>
          <w:lang w:eastAsia="de-DE"/>
        </w:rPr>
        <w:t xml:space="preserve">: </w:t>
      </w:r>
      <w:r w:rsidR="00EB7721" w:rsidRPr="00C84D8B">
        <w:rPr>
          <w:rFonts w:ascii="Verdana" w:hAnsi="Verdana"/>
          <w:color w:val="000000"/>
          <w:sz w:val="20"/>
          <w:szCs w:val="20"/>
          <w:lang w:eastAsia="de-DE"/>
        </w:rPr>
        <w:br/>
      </w:r>
      <w:r w:rsidR="00BA4C71" w:rsidRPr="00C84D8B">
        <w:rPr>
          <w:rFonts w:ascii="Verdana" w:hAnsi="Verdana"/>
          <w:color w:val="000000"/>
          <w:sz w:val="20"/>
          <w:szCs w:val="20"/>
          <w:lang w:eastAsia="de-DE"/>
        </w:rPr>
        <w:t>E</w:t>
      </w:r>
      <w:r w:rsidRPr="00C84D8B">
        <w:rPr>
          <w:rFonts w:ascii="Verdana" w:hAnsi="Verdana"/>
          <w:color w:val="000000"/>
          <w:sz w:val="20"/>
          <w:szCs w:val="20"/>
          <w:lang w:eastAsia="de-DE"/>
        </w:rPr>
        <w:t>s sollte in der EU-DSGVO differenziert werden, ob die Kenntnisnahme von personenbeziehbaren</w:t>
      </w:r>
      <w:r w:rsidR="001448FE">
        <w:rPr>
          <w:rFonts w:ascii="Verdana" w:hAnsi="Verdana"/>
          <w:color w:val="000000"/>
          <w:sz w:val="20"/>
          <w:szCs w:val="20"/>
          <w:lang w:eastAsia="de-DE"/>
        </w:rPr>
        <w:t xml:space="preserve"> Daten durch Dienstleister als H</w:t>
      </w:r>
      <w:r w:rsidRPr="00C84D8B">
        <w:rPr>
          <w:rFonts w:ascii="Verdana" w:hAnsi="Verdana"/>
          <w:color w:val="000000"/>
          <w:sz w:val="20"/>
          <w:szCs w:val="20"/>
          <w:lang w:eastAsia="de-DE"/>
        </w:rPr>
        <w:t xml:space="preserve">aupt- oder als Nebenleistung </w:t>
      </w:r>
      <w:r w:rsidR="00EB7721" w:rsidRPr="00C84D8B">
        <w:rPr>
          <w:rFonts w:ascii="Verdana" w:hAnsi="Verdana"/>
          <w:color w:val="000000"/>
          <w:sz w:val="20"/>
          <w:szCs w:val="20"/>
          <w:lang w:eastAsia="de-DE"/>
        </w:rPr>
        <w:t>der Beauftragung erfolgt.</w:t>
      </w:r>
    </w:p>
    <w:p w:rsidR="00E908F8" w:rsidRDefault="00E908F8" w:rsidP="002256BB">
      <w:pPr>
        <w:spacing w:line="360" w:lineRule="auto"/>
        <w:rPr>
          <w:rFonts w:ascii="Verdana" w:hAnsi="Verdana"/>
          <w:b/>
          <w:bCs/>
          <w:sz w:val="20"/>
          <w:szCs w:val="20"/>
          <w:lang w:eastAsia="de-DE"/>
        </w:rPr>
      </w:pPr>
    </w:p>
    <w:p w:rsidR="00E908F8" w:rsidRPr="00C84D8B" w:rsidRDefault="00E908F8" w:rsidP="002256BB">
      <w:pPr>
        <w:spacing w:line="360" w:lineRule="auto"/>
        <w:rPr>
          <w:rFonts w:ascii="Verdana" w:hAnsi="Verdana"/>
          <w:b/>
          <w:bCs/>
          <w:sz w:val="20"/>
          <w:szCs w:val="20"/>
          <w:lang w:eastAsia="de-DE"/>
        </w:rPr>
      </w:pPr>
    </w:p>
    <w:p w:rsidR="002256BB" w:rsidRPr="00E908F8" w:rsidRDefault="00EB7721" w:rsidP="00E908F8">
      <w:pPr>
        <w:pStyle w:val="StandardWeb"/>
        <w:spacing w:before="0" w:beforeAutospacing="0" w:after="0" w:afterAutospacing="0"/>
        <w:rPr>
          <w:rFonts w:ascii="Verdana" w:hAnsi="Verdana"/>
          <w:b/>
          <w:sz w:val="22"/>
          <w:szCs w:val="22"/>
        </w:rPr>
      </w:pPr>
      <w:r w:rsidRPr="00E908F8">
        <w:rPr>
          <w:rFonts w:ascii="Verdana" w:hAnsi="Verdana"/>
          <w:b/>
          <w:sz w:val="22"/>
          <w:szCs w:val="22"/>
        </w:rPr>
        <w:t xml:space="preserve">Art. 10 / </w:t>
      </w:r>
      <w:r w:rsidR="002256BB" w:rsidRPr="00E908F8">
        <w:rPr>
          <w:rFonts w:ascii="Verdana" w:hAnsi="Verdana"/>
          <w:b/>
          <w:sz w:val="22"/>
          <w:szCs w:val="22"/>
        </w:rPr>
        <w:t>Identifizierung</w:t>
      </w:r>
    </w:p>
    <w:p w:rsidR="00EB7721" w:rsidRPr="00C84D8B" w:rsidRDefault="002256BB" w:rsidP="002256BB">
      <w:pPr>
        <w:rPr>
          <w:rFonts w:ascii="Verdana" w:hAnsi="Verdana"/>
          <w:sz w:val="20"/>
          <w:szCs w:val="20"/>
          <w:lang w:eastAsia="de-DE"/>
        </w:rPr>
      </w:pPr>
      <w:r w:rsidRPr="00C84D8B">
        <w:rPr>
          <w:rFonts w:ascii="Verdana" w:hAnsi="Verdana"/>
          <w:sz w:val="20"/>
          <w:szCs w:val="20"/>
          <w:lang w:eastAsia="de-DE"/>
        </w:rPr>
        <w:t>Art. 10 bestimmt, dass der Controller, der anhand der von ihm verarbeiteten Daten eine natürliche Person nicht bestimmen kann, nicht verpflichtet</w:t>
      </w:r>
      <w:r w:rsidR="001448FE">
        <w:rPr>
          <w:rFonts w:ascii="Verdana" w:hAnsi="Verdana"/>
          <w:sz w:val="20"/>
          <w:szCs w:val="20"/>
          <w:lang w:eastAsia="de-DE"/>
        </w:rPr>
        <w:t xml:space="preserve"> ist</w:t>
      </w:r>
      <w:r w:rsidRPr="00C84D8B">
        <w:rPr>
          <w:rFonts w:ascii="Verdana" w:hAnsi="Verdana"/>
          <w:sz w:val="20"/>
          <w:szCs w:val="20"/>
          <w:lang w:eastAsia="de-DE"/>
        </w:rPr>
        <w:t xml:space="preserve">, zur bloßen Einhaltung einer Vorschrift dieser Verordnung zusätzliche Daten einzuholen, um die betroffene Person zu bestimmen. </w:t>
      </w:r>
    </w:p>
    <w:p w:rsidR="00BA4C71" w:rsidRPr="00C84D8B" w:rsidRDefault="00BA4C71" w:rsidP="002256BB">
      <w:pPr>
        <w:rPr>
          <w:rFonts w:ascii="Verdana" w:hAnsi="Verdana"/>
          <w:b/>
          <w:sz w:val="20"/>
          <w:szCs w:val="20"/>
          <w:lang w:eastAsia="de-DE"/>
        </w:rPr>
      </w:pPr>
    </w:p>
    <w:p w:rsidR="00EB7721" w:rsidRPr="00C84D8B" w:rsidRDefault="00EB7721" w:rsidP="002256BB">
      <w:pPr>
        <w:rPr>
          <w:rFonts w:ascii="Verdana" w:hAnsi="Verdana"/>
          <w:b/>
          <w:sz w:val="20"/>
          <w:szCs w:val="20"/>
          <w:lang w:eastAsia="de-DE"/>
        </w:rPr>
      </w:pPr>
      <w:r w:rsidRPr="00C84D8B">
        <w:rPr>
          <w:rFonts w:ascii="Verdana" w:hAnsi="Verdana"/>
          <w:b/>
          <w:sz w:val="20"/>
          <w:szCs w:val="20"/>
          <w:lang w:eastAsia="de-DE"/>
        </w:rPr>
        <w:t>Empfehlung:</w:t>
      </w:r>
    </w:p>
    <w:p w:rsidR="002256BB" w:rsidRPr="00C84D8B" w:rsidRDefault="002256BB" w:rsidP="002256BB">
      <w:pPr>
        <w:rPr>
          <w:rFonts w:ascii="Verdana" w:hAnsi="Verdana"/>
          <w:sz w:val="34"/>
          <w:szCs w:val="34"/>
          <w:lang w:eastAsia="de-DE"/>
        </w:rPr>
      </w:pPr>
      <w:r w:rsidRPr="00C84D8B">
        <w:rPr>
          <w:rFonts w:ascii="Verdana" w:hAnsi="Verdana"/>
          <w:color w:val="000000"/>
          <w:sz w:val="20"/>
          <w:szCs w:val="20"/>
          <w:lang w:eastAsia="de-DE"/>
        </w:rPr>
        <w:t xml:space="preserve">Der </w:t>
      </w:r>
      <w:proofErr w:type="spellStart"/>
      <w:r w:rsidR="001426EB">
        <w:rPr>
          <w:rFonts w:ascii="Verdana" w:hAnsi="Verdana"/>
          <w:color w:val="000000"/>
          <w:sz w:val="20"/>
          <w:szCs w:val="20"/>
          <w:lang w:eastAsia="de-DE"/>
        </w:rPr>
        <w:t>Processor</w:t>
      </w:r>
      <w:proofErr w:type="spellEnd"/>
      <w:r w:rsidR="001426EB" w:rsidRPr="00C84D8B">
        <w:rPr>
          <w:rFonts w:ascii="Verdana" w:hAnsi="Verdana"/>
          <w:color w:val="000000"/>
          <w:sz w:val="20"/>
          <w:szCs w:val="20"/>
          <w:lang w:eastAsia="de-DE"/>
        </w:rPr>
        <w:t xml:space="preserve"> </w:t>
      </w:r>
      <w:r w:rsidRPr="00C84D8B">
        <w:rPr>
          <w:rFonts w:ascii="Verdana" w:hAnsi="Verdana"/>
          <w:color w:val="000000"/>
          <w:sz w:val="20"/>
          <w:szCs w:val="20"/>
          <w:lang w:eastAsia="de-DE"/>
        </w:rPr>
        <w:t>sollte durchgängig mitgenannt werden. Das EP hat dies in seiner Entschließung auch bereits angelegt.</w:t>
      </w:r>
    </w:p>
    <w:p w:rsidR="002256BB" w:rsidRPr="00C84D8B" w:rsidRDefault="002256BB" w:rsidP="002256BB">
      <w:pPr>
        <w:rPr>
          <w:rFonts w:ascii="Verdana" w:hAnsi="Verdana"/>
          <w:sz w:val="20"/>
          <w:szCs w:val="20"/>
        </w:rPr>
      </w:pPr>
    </w:p>
    <w:p w:rsidR="00BA4C71" w:rsidRPr="00C84D8B" w:rsidRDefault="00BA4C71" w:rsidP="002256BB">
      <w:pPr>
        <w:rPr>
          <w:rFonts w:ascii="Verdana" w:hAnsi="Verdana"/>
          <w:b/>
          <w:bCs/>
          <w:sz w:val="20"/>
          <w:szCs w:val="20"/>
        </w:rPr>
      </w:pPr>
    </w:p>
    <w:p w:rsidR="002256BB" w:rsidRPr="00E908F8" w:rsidRDefault="00EB7721" w:rsidP="00E908F8">
      <w:pPr>
        <w:pStyle w:val="StandardWeb"/>
        <w:spacing w:before="0" w:beforeAutospacing="0" w:after="0" w:afterAutospacing="0"/>
        <w:rPr>
          <w:rFonts w:ascii="Verdana" w:hAnsi="Verdana"/>
          <w:b/>
          <w:sz w:val="22"/>
          <w:szCs w:val="22"/>
        </w:rPr>
      </w:pPr>
      <w:r w:rsidRPr="00E908F8">
        <w:rPr>
          <w:rFonts w:ascii="Verdana" w:hAnsi="Verdana"/>
          <w:b/>
          <w:sz w:val="22"/>
          <w:szCs w:val="22"/>
        </w:rPr>
        <w:t xml:space="preserve">Art 15.  / Auskunft und </w:t>
      </w:r>
      <w:r w:rsidR="002256BB" w:rsidRPr="00E908F8">
        <w:rPr>
          <w:rFonts w:ascii="Verdana" w:hAnsi="Verdana"/>
          <w:b/>
          <w:sz w:val="22"/>
          <w:szCs w:val="22"/>
        </w:rPr>
        <w:t>Berufsgeheimnis</w:t>
      </w:r>
    </w:p>
    <w:p w:rsidR="002256BB" w:rsidRPr="00C84D8B" w:rsidRDefault="002256BB" w:rsidP="002256BB">
      <w:pPr>
        <w:spacing w:before="120"/>
        <w:textAlignment w:val="center"/>
        <w:rPr>
          <w:rFonts w:ascii="Verdana" w:hAnsi="Verdana"/>
          <w:color w:val="000000"/>
          <w:sz w:val="20"/>
          <w:szCs w:val="20"/>
        </w:rPr>
      </w:pPr>
      <w:r w:rsidRPr="00C84D8B">
        <w:rPr>
          <w:rFonts w:ascii="Verdana" w:hAnsi="Verdana"/>
          <w:color w:val="000000"/>
          <w:sz w:val="20"/>
          <w:szCs w:val="20"/>
        </w:rPr>
        <w:t>Das Berufsrecht untersagt Berufsträgern die Weitergabe von Daten ohne Einwilligung des Mandanten</w:t>
      </w:r>
      <w:r w:rsidR="00E908F8">
        <w:rPr>
          <w:rFonts w:ascii="Verdana" w:hAnsi="Verdana"/>
          <w:color w:val="000000"/>
          <w:sz w:val="20"/>
          <w:szCs w:val="20"/>
        </w:rPr>
        <w:t>/Patienten</w:t>
      </w:r>
      <w:r w:rsidRPr="00C84D8B">
        <w:rPr>
          <w:rFonts w:ascii="Verdana" w:hAnsi="Verdana"/>
          <w:color w:val="000000"/>
          <w:sz w:val="20"/>
          <w:szCs w:val="20"/>
        </w:rPr>
        <w:t xml:space="preserve">. Im deutschen Recht geht diese berufliche Verschwiegenheitspflicht dem </w:t>
      </w:r>
      <w:r w:rsidR="00EB7721" w:rsidRPr="00C84D8B">
        <w:rPr>
          <w:rFonts w:ascii="Verdana" w:hAnsi="Verdana"/>
          <w:color w:val="000000"/>
          <w:sz w:val="20"/>
          <w:szCs w:val="20"/>
        </w:rPr>
        <w:t xml:space="preserve">Auskunftsrecht des </w:t>
      </w:r>
      <w:r w:rsidRPr="00C84D8B">
        <w:rPr>
          <w:rFonts w:ascii="Verdana" w:hAnsi="Verdana"/>
          <w:color w:val="000000"/>
          <w:sz w:val="20"/>
          <w:szCs w:val="20"/>
        </w:rPr>
        <w:t>BDSG vor</w:t>
      </w:r>
      <w:r w:rsidR="00EB7721" w:rsidRPr="00C84D8B">
        <w:rPr>
          <w:rFonts w:ascii="Verdana" w:hAnsi="Verdana"/>
          <w:color w:val="000000"/>
          <w:sz w:val="20"/>
          <w:szCs w:val="20"/>
        </w:rPr>
        <w:t xml:space="preserve"> (vgl. KG Berlin, 20.08.2010</w:t>
      </w:r>
      <w:r w:rsidR="00E908F8">
        <w:rPr>
          <w:rFonts w:ascii="Verdana" w:hAnsi="Verdana"/>
          <w:color w:val="000000"/>
          <w:sz w:val="20"/>
          <w:szCs w:val="20"/>
        </w:rPr>
        <w:t xml:space="preserve"> zu § 1 Abs. 3 BDSG</w:t>
      </w:r>
      <w:r w:rsidR="00EB7721" w:rsidRPr="00C84D8B">
        <w:rPr>
          <w:rFonts w:ascii="Verdana" w:hAnsi="Verdana"/>
          <w:color w:val="000000"/>
          <w:sz w:val="20"/>
          <w:szCs w:val="20"/>
        </w:rPr>
        <w:t>)</w:t>
      </w:r>
      <w:r w:rsidRPr="00C84D8B">
        <w:rPr>
          <w:rFonts w:ascii="Verdana" w:hAnsi="Verdana"/>
          <w:color w:val="000000"/>
          <w:sz w:val="20"/>
          <w:szCs w:val="20"/>
        </w:rPr>
        <w:t xml:space="preserve">. </w:t>
      </w:r>
    </w:p>
    <w:p w:rsidR="002256BB" w:rsidRPr="00C84D8B" w:rsidRDefault="002256BB" w:rsidP="002256BB">
      <w:pPr>
        <w:spacing w:before="120"/>
        <w:textAlignment w:val="center"/>
        <w:rPr>
          <w:rFonts w:ascii="Verdana" w:hAnsi="Verdana"/>
          <w:color w:val="000000"/>
          <w:sz w:val="20"/>
          <w:szCs w:val="20"/>
        </w:rPr>
      </w:pPr>
      <w:r w:rsidRPr="00C84D8B">
        <w:rPr>
          <w:rFonts w:ascii="Verdana" w:hAnsi="Verdana"/>
          <w:color w:val="000000"/>
          <w:sz w:val="20"/>
          <w:szCs w:val="20"/>
        </w:rPr>
        <w:t xml:space="preserve">Berufsgeheimnisträger, deren Aufgabe in der umfassenden Beratung ihrer Mandanten bzw. Patienten liegt, verarbeiten oft auch Daten Dritter, die sie von ihren Mandanten erhalten haben. Der Berufsgeheimnisträger sichert seinem Mandanten bzw. Patienten die vertrauliche Behandlung aller ihm zur Verfügung gestellten Daten und seine Verschwiegenheit auch für Sachverhalte zu, die er lediglich beiläufig erfährt. Wenn der Berufsgeheimnisträger gegenüber Dritten informations- und auskunftspflichtig werden würde, verlöre die berufliche Schweigepflicht ihre Substanz, sie würde ausgehöhlt und eine uneingeschränkte Berufsausübung durch einen vertrauensvollen Informationsaustausch würde unmöglich. </w:t>
      </w:r>
    </w:p>
    <w:p w:rsidR="00EB7721" w:rsidRPr="00C84D8B" w:rsidRDefault="002256BB" w:rsidP="002256BB">
      <w:pPr>
        <w:spacing w:before="120"/>
        <w:textAlignment w:val="center"/>
        <w:rPr>
          <w:rFonts w:ascii="Verdana" w:hAnsi="Verdana"/>
          <w:sz w:val="20"/>
          <w:szCs w:val="20"/>
        </w:rPr>
      </w:pPr>
      <w:r w:rsidRPr="00C84D8B">
        <w:rPr>
          <w:rFonts w:ascii="Verdana" w:hAnsi="Verdana"/>
          <w:color w:val="000000"/>
          <w:sz w:val="20"/>
          <w:szCs w:val="20"/>
        </w:rPr>
        <w:t xml:space="preserve">Dieses wird vom EP sowie in den Ratsdokumenten </w:t>
      </w:r>
      <w:r w:rsidRPr="00C84D8B">
        <w:rPr>
          <w:rFonts w:ascii="Verdana" w:hAnsi="Verdana"/>
          <w:sz w:val="20"/>
          <w:szCs w:val="20"/>
        </w:rPr>
        <w:t>11028/14 v. 30.6.2014</w:t>
      </w:r>
      <w:r w:rsidRPr="00C84D8B">
        <w:rPr>
          <w:rFonts w:ascii="Verdana" w:hAnsi="Verdana"/>
          <w:sz w:val="20"/>
          <w:szCs w:val="20"/>
          <w:u w:val="single"/>
        </w:rPr>
        <w:t xml:space="preserve"> </w:t>
      </w:r>
      <w:r w:rsidRPr="00C84D8B">
        <w:rPr>
          <w:rFonts w:ascii="Verdana" w:hAnsi="Verdana"/>
          <w:sz w:val="20"/>
          <w:szCs w:val="20"/>
        </w:rPr>
        <w:t>und</w:t>
      </w:r>
      <w:r w:rsidRPr="00C84D8B">
        <w:rPr>
          <w:rFonts w:ascii="Verdana" w:hAnsi="Verdana"/>
          <w:sz w:val="20"/>
          <w:szCs w:val="20"/>
          <w:u w:val="single"/>
        </w:rPr>
        <w:t xml:space="preserve"> </w:t>
      </w:r>
      <w:r w:rsidRPr="00C84D8B">
        <w:rPr>
          <w:rFonts w:ascii="Verdana" w:hAnsi="Verdana"/>
          <w:sz w:val="20"/>
          <w:szCs w:val="20"/>
        </w:rPr>
        <w:t xml:space="preserve">12312/1/14 v. 17.9.2014 auch grundsätzlich anerkannt. Allerdings ist in den aktuellen Ratsdokumenten der Schutz des Berufsgeheimnisses in </w:t>
      </w:r>
      <w:r w:rsidRPr="00C84D8B">
        <w:rPr>
          <w:rFonts w:ascii="Verdana" w:hAnsi="Verdana"/>
          <w:b/>
          <w:bCs/>
          <w:sz w:val="20"/>
          <w:szCs w:val="20"/>
        </w:rPr>
        <w:t>Art. 15</w:t>
      </w:r>
      <w:r w:rsidRPr="00C84D8B">
        <w:rPr>
          <w:rFonts w:ascii="Verdana" w:hAnsi="Verdana"/>
          <w:sz w:val="20"/>
          <w:szCs w:val="20"/>
        </w:rPr>
        <w:t xml:space="preserve"> – anders als vom EP (Art. 15 II c) – nicht vorgesehen. </w:t>
      </w:r>
    </w:p>
    <w:p w:rsidR="00EB7721" w:rsidRPr="00C84D8B" w:rsidRDefault="00EB7721" w:rsidP="002256BB">
      <w:pPr>
        <w:spacing w:before="120"/>
        <w:textAlignment w:val="center"/>
        <w:rPr>
          <w:rFonts w:ascii="Verdana" w:hAnsi="Verdana"/>
          <w:sz w:val="20"/>
          <w:szCs w:val="20"/>
        </w:rPr>
      </w:pPr>
      <w:r w:rsidRPr="00C84D8B">
        <w:rPr>
          <w:rFonts w:ascii="Verdana" w:hAnsi="Verdana"/>
          <w:b/>
          <w:sz w:val="20"/>
          <w:szCs w:val="20"/>
        </w:rPr>
        <w:t>Empfehlung</w:t>
      </w:r>
      <w:r w:rsidRPr="00C84D8B">
        <w:rPr>
          <w:rFonts w:ascii="Verdana" w:hAnsi="Verdana"/>
          <w:sz w:val="20"/>
          <w:szCs w:val="20"/>
        </w:rPr>
        <w:t>:</w:t>
      </w:r>
    </w:p>
    <w:p w:rsidR="00EB7721" w:rsidRPr="00C84D8B" w:rsidRDefault="00EB7721" w:rsidP="002256BB">
      <w:pPr>
        <w:spacing w:before="120"/>
        <w:textAlignment w:val="center"/>
        <w:rPr>
          <w:rFonts w:ascii="Verdana" w:hAnsi="Verdana"/>
          <w:sz w:val="20"/>
          <w:szCs w:val="20"/>
        </w:rPr>
      </w:pPr>
      <w:r w:rsidRPr="00C84D8B">
        <w:rPr>
          <w:rFonts w:ascii="Verdana" w:hAnsi="Verdana"/>
          <w:sz w:val="20"/>
          <w:szCs w:val="20"/>
        </w:rPr>
        <w:t xml:space="preserve">Erweiterung des Art. 15 </w:t>
      </w:r>
      <w:r w:rsidR="002256BB" w:rsidRPr="00C84D8B">
        <w:rPr>
          <w:rFonts w:ascii="Verdana" w:hAnsi="Verdana"/>
          <w:sz w:val="20"/>
          <w:szCs w:val="20"/>
        </w:rPr>
        <w:t xml:space="preserve"> – im Einklang mit dem u.a. in Art. 14a IV e, Art. 28 IV c sowie </w:t>
      </w:r>
      <w:proofErr w:type="spellStart"/>
      <w:r w:rsidR="002256BB" w:rsidRPr="00C84D8B">
        <w:rPr>
          <w:rFonts w:ascii="Verdana" w:hAnsi="Verdana"/>
          <w:sz w:val="20"/>
          <w:szCs w:val="20"/>
        </w:rPr>
        <w:t>Erw</w:t>
      </w:r>
      <w:proofErr w:type="spellEnd"/>
      <w:r w:rsidR="002256BB" w:rsidRPr="00C84D8B">
        <w:rPr>
          <w:rFonts w:ascii="Verdana" w:hAnsi="Verdana"/>
          <w:sz w:val="20"/>
          <w:szCs w:val="20"/>
        </w:rPr>
        <w:t xml:space="preserve">. 71 – </w:t>
      </w:r>
      <w:r w:rsidRPr="00C84D8B">
        <w:rPr>
          <w:rFonts w:ascii="Verdana" w:hAnsi="Verdana"/>
          <w:sz w:val="20"/>
          <w:szCs w:val="20"/>
        </w:rPr>
        <w:t>um Ausnahmen für Daten, die einem Berufsgeheimnis unterliegen.</w:t>
      </w:r>
    </w:p>
    <w:p w:rsidR="002256BB" w:rsidRPr="00C84D8B" w:rsidRDefault="002256BB" w:rsidP="002256BB">
      <w:pPr>
        <w:spacing w:before="120"/>
        <w:textAlignment w:val="center"/>
        <w:rPr>
          <w:rFonts w:ascii="Verdana" w:hAnsi="Verdana"/>
          <w:color w:val="000000"/>
          <w:sz w:val="20"/>
          <w:szCs w:val="20"/>
        </w:rPr>
      </w:pPr>
      <w:r w:rsidRPr="00C84D8B">
        <w:rPr>
          <w:rFonts w:ascii="Verdana" w:hAnsi="Verdana"/>
          <w:sz w:val="20"/>
          <w:szCs w:val="20"/>
        </w:rPr>
        <w:t xml:space="preserve"> </w:t>
      </w:r>
    </w:p>
    <w:p w:rsidR="002256BB" w:rsidRPr="00C84D8B" w:rsidRDefault="002256BB" w:rsidP="002256BB">
      <w:pPr>
        <w:pStyle w:val="StandardWeb"/>
        <w:spacing w:before="0" w:beforeAutospacing="0" w:after="0" w:afterAutospacing="0"/>
        <w:ind w:left="285"/>
        <w:rPr>
          <w:rFonts w:ascii="Verdana" w:hAnsi="Verdana"/>
          <w:sz w:val="20"/>
          <w:szCs w:val="20"/>
        </w:rPr>
      </w:pPr>
    </w:p>
    <w:p w:rsidR="002256BB" w:rsidRPr="00E908F8" w:rsidRDefault="00B80B22" w:rsidP="002256BB">
      <w:pPr>
        <w:pStyle w:val="StandardWeb"/>
        <w:spacing w:before="0" w:beforeAutospacing="0" w:after="0" w:afterAutospacing="0"/>
        <w:rPr>
          <w:rFonts w:ascii="Verdana" w:hAnsi="Verdana"/>
          <w:b/>
          <w:sz w:val="22"/>
          <w:szCs w:val="22"/>
        </w:rPr>
      </w:pPr>
      <w:r w:rsidRPr="00E908F8">
        <w:rPr>
          <w:rFonts w:ascii="Verdana" w:hAnsi="Verdana"/>
          <w:b/>
          <w:sz w:val="22"/>
          <w:szCs w:val="22"/>
        </w:rPr>
        <w:t xml:space="preserve">Art. 22 / </w:t>
      </w:r>
      <w:r w:rsidR="002256BB" w:rsidRPr="00E908F8">
        <w:rPr>
          <w:rFonts w:ascii="Verdana" w:hAnsi="Verdana"/>
          <w:b/>
          <w:sz w:val="22"/>
          <w:szCs w:val="22"/>
        </w:rPr>
        <w:t>Controller-</w:t>
      </w:r>
      <w:proofErr w:type="spellStart"/>
      <w:r w:rsidR="002256BB" w:rsidRPr="00E908F8">
        <w:rPr>
          <w:rFonts w:ascii="Verdana" w:hAnsi="Verdana"/>
          <w:b/>
          <w:sz w:val="22"/>
          <w:szCs w:val="22"/>
        </w:rPr>
        <w:t>Processor</w:t>
      </w:r>
      <w:proofErr w:type="spellEnd"/>
    </w:p>
    <w:p w:rsidR="002256BB" w:rsidRPr="00C84D8B" w:rsidRDefault="002256BB" w:rsidP="002256BB">
      <w:pPr>
        <w:pStyle w:val="StandardWeb"/>
        <w:spacing w:before="0" w:beforeAutospacing="0" w:after="0" w:afterAutospacing="0"/>
        <w:ind w:left="285"/>
        <w:rPr>
          <w:rFonts w:ascii="Verdana" w:hAnsi="Verdana"/>
          <w:color w:val="000000"/>
          <w:sz w:val="20"/>
          <w:szCs w:val="20"/>
        </w:rPr>
      </w:pPr>
      <w:r w:rsidRPr="00C84D8B">
        <w:rPr>
          <w:rFonts w:ascii="Verdana" w:hAnsi="Verdana"/>
          <w:color w:val="000000"/>
          <w:sz w:val="20"/>
          <w:szCs w:val="20"/>
        </w:rPr>
        <w:t> </w:t>
      </w:r>
    </w:p>
    <w:p w:rsidR="002256BB" w:rsidRPr="00C84D8B" w:rsidRDefault="002256BB" w:rsidP="002256BB">
      <w:pPr>
        <w:pStyle w:val="StandardWeb"/>
        <w:spacing w:before="0" w:beforeAutospacing="0" w:after="0" w:afterAutospacing="0"/>
        <w:rPr>
          <w:rFonts w:ascii="Verdana" w:hAnsi="Verdana"/>
          <w:sz w:val="20"/>
          <w:szCs w:val="20"/>
        </w:rPr>
      </w:pPr>
      <w:r w:rsidRPr="00C84D8B">
        <w:rPr>
          <w:rFonts w:ascii="Verdana" w:hAnsi="Verdana"/>
          <w:sz w:val="20"/>
          <w:szCs w:val="20"/>
        </w:rPr>
        <w:t xml:space="preserve">Die in den aktuellen Ratsdokumenten vorgesehene schärfere Trennung zwischen den Pflichten von Controller und </w:t>
      </w:r>
      <w:proofErr w:type="spellStart"/>
      <w:r w:rsidRPr="00C84D8B">
        <w:rPr>
          <w:rFonts w:ascii="Verdana" w:hAnsi="Verdana"/>
          <w:sz w:val="20"/>
          <w:szCs w:val="20"/>
        </w:rPr>
        <w:t>Processor</w:t>
      </w:r>
      <w:proofErr w:type="spellEnd"/>
      <w:r w:rsidRPr="00C84D8B">
        <w:rPr>
          <w:rFonts w:ascii="Verdana" w:hAnsi="Verdana"/>
          <w:sz w:val="20"/>
          <w:szCs w:val="20"/>
        </w:rPr>
        <w:t xml:space="preserve"> ist zu begrüßen. Insbesondere erfreulich ist die </w:t>
      </w:r>
      <w:r w:rsidRPr="00C84D8B">
        <w:rPr>
          <w:rFonts w:ascii="Verdana" w:hAnsi="Verdana"/>
          <w:sz w:val="20"/>
          <w:szCs w:val="20"/>
        </w:rPr>
        <w:lastRenderedPageBreak/>
        <w:t>klare Verantwortlichkeit des Controllers für die Überprüfung der Wirksamkeit der Datenschutz-Maßnahmen bei der Verarbeitung (Art. 26 I).</w:t>
      </w:r>
    </w:p>
    <w:p w:rsidR="002256BB" w:rsidRPr="00C84D8B" w:rsidRDefault="002256BB" w:rsidP="002256BB">
      <w:pPr>
        <w:pStyle w:val="StandardWeb"/>
        <w:spacing w:before="0" w:beforeAutospacing="0" w:after="0" w:afterAutospacing="0"/>
        <w:rPr>
          <w:rFonts w:ascii="Verdana" w:hAnsi="Verdana"/>
          <w:sz w:val="20"/>
          <w:szCs w:val="20"/>
        </w:rPr>
      </w:pPr>
    </w:p>
    <w:p w:rsidR="002256BB" w:rsidRPr="00E908F8" w:rsidRDefault="00B80B22" w:rsidP="00E908F8">
      <w:pPr>
        <w:pStyle w:val="StandardWeb"/>
        <w:spacing w:before="0" w:beforeAutospacing="0" w:after="0" w:afterAutospacing="0"/>
        <w:rPr>
          <w:rFonts w:ascii="Verdana" w:hAnsi="Verdana"/>
          <w:b/>
          <w:sz w:val="22"/>
          <w:szCs w:val="22"/>
        </w:rPr>
      </w:pPr>
      <w:r w:rsidRPr="00E908F8">
        <w:rPr>
          <w:rFonts w:ascii="Verdana" w:hAnsi="Verdana"/>
          <w:b/>
          <w:sz w:val="22"/>
          <w:szCs w:val="22"/>
        </w:rPr>
        <w:t xml:space="preserve">Art. 26 </w:t>
      </w:r>
      <w:r w:rsidR="00F7380E" w:rsidRPr="00E908F8">
        <w:rPr>
          <w:rFonts w:ascii="Verdana" w:hAnsi="Verdana"/>
          <w:b/>
          <w:sz w:val="22"/>
          <w:szCs w:val="22"/>
        </w:rPr>
        <w:t xml:space="preserve">Abs. 1a </w:t>
      </w:r>
      <w:r w:rsidRPr="00E908F8">
        <w:rPr>
          <w:rFonts w:ascii="Verdana" w:hAnsi="Verdana"/>
          <w:b/>
          <w:sz w:val="22"/>
          <w:szCs w:val="22"/>
        </w:rPr>
        <w:t xml:space="preserve">/ </w:t>
      </w:r>
      <w:proofErr w:type="spellStart"/>
      <w:r w:rsidR="001426EB">
        <w:rPr>
          <w:rFonts w:ascii="Verdana" w:hAnsi="Verdana"/>
          <w:b/>
          <w:sz w:val="22"/>
          <w:szCs w:val="22"/>
        </w:rPr>
        <w:t>Processor</w:t>
      </w:r>
      <w:proofErr w:type="spellEnd"/>
      <w:r w:rsidR="001426EB" w:rsidRPr="00E908F8">
        <w:rPr>
          <w:rFonts w:ascii="Verdana" w:hAnsi="Verdana"/>
          <w:b/>
          <w:sz w:val="22"/>
          <w:szCs w:val="22"/>
        </w:rPr>
        <w:t xml:space="preserve"> </w:t>
      </w:r>
      <w:r w:rsidRPr="00E908F8">
        <w:rPr>
          <w:rFonts w:ascii="Verdana" w:hAnsi="Verdana"/>
          <w:b/>
          <w:sz w:val="22"/>
          <w:szCs w:val="22"/>
        </w:rPr>
        <w:t>(</w:t>
      </w:r>
      <w:r w:rsidR="00F53C8D" w:rsidRPr="00E908F8">
        <w:rPr>
          <w:rFonts w:ascii="Verdana" w:hAnsi="Verdana"/>
          <w:b/>
          <w:sz w:val="22"/>
          <w:szCs w:val="22"/>
        </w:rPr>
        <w:t>Subunternehmer-Problematik</w:t>
      </w:r>
      <w:r w:rsidRPr="00E908F8">
        <w:rPr>
          <w:rFonts w:ascii="Verdana" w:hAnsi="Verdana"/>
          <w:b/>
          <w:sz w:val="22"/>
          <w:szCs w:val="22"/>
        </w:rPr>
        <w:t>)</w:t>
      </w:r>
    </w:p>
    <w:p w:rsidR="00B80B22" w:rsidRPr="00C84D8B" w:rsidRDefault="00B80B22" w:rsidP="002256BB">
      <w:pPr>
        <w:pStyle w:val="StandardWeb"/>
        <w:spacing w:before="0" w:beforeAutospacing="0" w:after="0" w:afterAutospacing="0"/>
        <w:rPr>
          <w:rFonts w:ascii="Verdana" w:hAnsi="Verdana"/>
          <w:sz w:val="20"/>
          <w:szCs w:val="20"/>
        </w:rPr>
      </w:pPr>
    </w:p>
    <w:p w:rsidR="00B80B22" w:rsidRPr="00C84D8B" w:rsidRDefault="00B80B22" w:rsidP="002256BB">
      <w:pPr>
        <w:pStyle w:val="StandardWeb"/>
        <w:spacing w:before="0" w:beforeAutospacing="0" w:after="0" w:afterAutospacing="0"/>
        <w:rPr>
          <w:rFonts w:ascii="Verdana" w:hAnsi="Verdana"/>
          <w:sz w:val="20"/>
          <w:szCs w:val="20"/>
        </w:rPr>
      </w:pPr>
      <w:r w:rsidRPr="00C84D8B">
        <w:rPr>
          <w:rFonts w:ascii="Verdana" w:hAnsi="Verdana"/>
          <w:sz w:val="20"/>
          <w:szCs w:val="20"/>
        </w:rPr>
        <w:t>Die fehlende Unterscheidung zwischen der Kenntnisnahme der Daten durch den Dienstleister als Hauptleistung oder als Nebenleistung droht zu nicht durchführbaren Anforderungen zu führen:</w:t>
      </w:r>
    </w:p>
    <w:p w:rsidR="00B80B22" w:rsidRPr="00C84D8B" w:rsidRDefault="00B80B22" w:rsidP="002256BB">
      <w:pPr>
        <w:pStyle w:val="StandardWeb"/>
        <w:spacing w:before="0" w:beforeAutospacing="0" w:after="0" w:afterAutospacing="0"/>
        <w:rPr>
          <w:rFonts w:ascii="Verdana" w:hAnsi="Verdana"/>
          <w:sz w:val="20"/>
          <w:szCs w:val="20"/>
        </w:rPr>
      </w:pPr>
      <w:r w:rsidRPr="00C84D8B">
        <w:rPr>
          <w:rFonts w:ascii="Verdana" w:hAnsi="Verdana"/>
          <w:sz w:val="20"/>
          <w:szCs w:val="20"/>
        </w:rPr>
        <w:t>Die Formulierung in Art. 26 Abs. 1a würde dazu führen, dass für die Kenntnisnahme von personenbezogenen Daten im Rahmen der Wartung von Datenverarbeitungsanlage die Regelungen zur Auftragsdatenverarbeitung entsprechend anzuwenden ist (vgl. § 11 Abs. 5 BDSG)</w:t>
      </w:r>
      <w:r w:rsidR="001448FE">
        <w:rPr>
          <w:rFonts w:ascii="Verdana" w:hAnsi="Verdana"/>
          <w:sz w:val="20"/>
          <w:szCs w:val="20"/>
        </w:rPr>
        <w:t>. Bei</w:t>
      </w:r>
      <w:r w:rsidRPr="00C84D8B">
        <w:rPr>
          <w:rFonts w:ascii="Verdana" w:hAnsi="Verdana"/>
          <w:sz w:val="20"/>
          <w:szCs w:val="20"/>
        </w:rPr>
        <w:t xml:space="preserve"> der Beauftragung eines Callcenters mit der Durchführung einer Kunde</w:t>
      </w:r>
      <w:r w:rsidR="00F53C8D" w:rsidRPr="00C84D8B">
        <w:rPr>
          <w:rFonts w:ascii="Verdana" w:hAnsi="Verdana"/>
          <w:sz w:val="20"/>
          <w:szCs w:val="20"/>
        </w:rPr>
        <w:t>n</w:t>
      </w:r>
      <w:r w:rsidRPr="00C84D8B">
        <w:rPr>
          <w:rFonts w:ascii="Verdana" w:hAnsi="Verdana"/>
          <w:sz w:val="20"/>
          <w:szCs w:val="20"/>
        </w:rPr>
        <w:t>befragung</w:t>
      </w:r>
      <w:r w:rsidR="00F53C8D" w:rsidRPr="00C84D8B">
        <w:rPr>
          <w:rFonts w:ascii="Verdana" w:hAnsi="Verdana"/>
          <w:sz w:val="20"/>
          <w:szCs w:val="20"/>
        </w:rPr>
        <w:t xml:space="preserve"> </w:t>
      </w:r>
      <w:r w:rsidR="001448FE" w:rsidRPr="00C84D8B">
        <w:rPr>
          <w:rFonts w:ascii="Verdana" w:hAnsi="Verdana"/>
          <w:sz w:val="20"/>
          <w:szCs w:val="20"/>
        </w:rPr>
        <w:t>führt</w:t>
      </w:r>
      <w:r w:rsidR="001448FE">
        <w:rPr>
          <w:rFonts w:ascii="Verdana" w:hAnsi="Verdana"/>
          <w:sz w:val="20"/>
          <w:szCs w:val="20"/>
        </w:rPr>
        <w:t xml:space="preserve"> dies </w:t>
      </w:r>
      <w:r w:rsidR="00F53C8D" w:rsidRPr="00C84D8B">
        <w:rPr>
          <w:rFonts w:ascii="Verdana" w:hAnsi="Verdana"/>
          <w:sz w:val="20"/>
          <w:szCs w:val="20"/>
        </w:rPr>
        <w:t xml:space="preserve">dazu, dass auch der Wartungspartner der Telefonanlage des Callcenters in die Beauftragungskette </w:t>
      </w:r>
      <w:r w:rsidR="00C84D8B">
        <w:rPr>
          <w:rFonts w:ascii="Verdana" w:hAnsi="Verdana"/>
          <w:sz w:val="20"/>
          <w:szCs w:val="20"/>
        </w:rPr>
        <w:t xml:space="preserve">nach Art. 26 Abs. 1a </w:t>
      </w:r>
      <w:r w:rsidR="00F53C8D" w:rsidRPr="00C84D8B">
        <w:rPr>
          <w:rFonts w:ascii="Verdana" w:hAnsi="Verdana"/>
          <w:sz w:val="20"/>
          <w:szCs w:val="20"/>
        </w:rPr>
        <w:t>einbezogen werden müsste.</w:t>
      </w:r>
    </w:p>
    <w:p w:rsidR="00BA4C71" w:rsidRDefault="00C84D8B" w:rsidP="002256BB">
      <w:pPr>
        <w:pStyle w:val="StandardWeb"/>
        <w:spacing w:before="0" w:beforeAutospacing="0" w:after="0" w:afterAutospacing="0"/>
        <w:rPr>
          <w:rFonts w:ascii="Verdana" w:hAnsi="Verdana"/>
          <w:sz w:val="20"/>
          <w:szCs w:val="20"/>
        </w:rPr>
      </w:pPr>
      <w:r w:rsidRPr="00C84D8B">
        <w:rPr>
          <w:rFonts w:ascii="Verdana" w:hAnsi="Verdana"/>
          <w:sz w:val="20"/>
          <w:szCs w:val="20"/>
        </w:rPr>
        <w:t xml:space="preserve">Eine weitere Folge wäre die Information nach Art. 14 Abs. 1a </w:t>
      </w:r>
      <w:proofErr w:type="spellStart"/>
      <w:r w:rsidRPr="00C84D8B">
        <w:rPr>
          <w:rFonts w:ascii="Verdana" w:hAnsi="Verdana"/>
          <w:sz w:val="20"/>
          <w:szCs w:val="20"/>
        </w:rPr>
        <w:t>lit</w:t>
      </w:r>
      <w:proofErr w:type="spellEnd"/>
      <w:r w:rsidRPr="00C84D8B">
        <w:rPr>
          <w:rFonts w:ascii="Verdana" w:hAnsi="Verdana"/>
          <w:sz w:val="20"/>
          <w:szCs w:val="20"/>
        </w:rPr>
        <w:t xml:space="preserve">. c </w:t>
      </w:r>
      <w:r>
        <w:rPr>
          <w:rFonts w:ascii="Verdana" w:hAnsi="Verdana"/>
          <w:sz w:val="20"/>
          <w:szCs w:val="20"/>
        </w:rPr>
        <w:t>ü</w:t>
      </w:r>
      <w:r w:rsidRPr="00C84D8B">
        <w:rPr>
          <w:rFonts w:ascii="Verdana" w:hAnsi="Verdana"/>
          <w:sz w:val="20"/>
          <w:szCs w:val="20"/>
        </w:rPr>
        <w:t>ber die Empfänger der Daten</w:t>
      </w:r>
      <w:r>
        <w:rPr>
          <w:rFonts w:ascii="Verdana" w:hAnsi="Verdana"/>
          <w:sz w:val="20"/>
          <w:szCs w:val="20"/>
        </w:rPr>
        <w:t>; eine Forderung</w:t>
      </w:r>
      <w:r w:rsidR="001426EB">
        <w:rPr>
          <w:rFonts w:ascii="Verdana" w:hAnsi="Verdana"/>
          <w:sz w:val="20"/>
          <w:szCs w:val="20"/>
        </w:rPr>
        <w:t>,</w:t>
      </w:r>
      <w:r>
        <w:rPr>
          <w:rFonts w:ascii="Verdana" w:hAnsi="Verdana"/>
          <w:sz w:val="20"/>
          <w:szCs w:val="20"/>
        </w:rPr>
        <w:t xml:space="preserve"> die in den Zeiten der arbeitsteiligen Wirtschaft nicht jeden Wartungspartner der eingesetzten Maschinen, Hard- und Software umfassen kann.</w:t>
      </w:r>
    </w:p>
    <w:p w:rsidR="005813CF" w:rsidRPr="00C84D8B" w:rsidRDefault="005813CF" w:rsidP="002256BB">
      <w:pPr>
        <w:pStyle w:val="StandardWeb"/>
        <w:spacing w:before="0" w:beforeAutospacing="0" w:after="0" w:afterAutospacing="0"/>
        <w:rPr>
          <w:rFonts w:ascii="Verdana" w:hAnsi="Verdana"/>
          <w:sz w:val="20"/>
          <w:szCs w:val="20"/>
        </w:rPr>
      </w:pPr>
    </w:p>
    <w:p w:rsidR="00F53C8D" w:rsidRPr="00C84D8B" w:rsidRDefault="00F53C8D" w:rsidP="002256BB">
      <w:pPr>
        <w:pStyle w:val="StandardWeb"/>
        <w:spacing w:before="0" w:beforeAutospacing="0" w:after="0" w:afterAutospacing="0"/>
        <w:rPr>
          <w:rFonts w:ascii="Verdana" w:hAnsi="Verdana"/>
          <w:sz w:val="20"/>
          <w:szCs w:val="20"/>
        </w:rPr>
      </w:pPr>
      <w:r w:rsidRPr="00C84D8B">
        <w:rPr>
          <w:rFonts w:ascii="Verdana" w:hAnsi="Verdana"/>
          <w:b/>
          <w:sz w:val="20"/>
          <w:szCs w:val="20"/>
        </w:rPr>
        <w:t>Empfehlung</w:t>
      </w:r>
      <w:r w:rsidRPr="00C84D8B">
        <w:rPr>
          <w:rFonts w:ascii="Verdana" w:hAnsi="Verdana"/>
          <w:sz w:val="20"/>
          <w:szCs w:val="20"/>
        </w:rPr>
        <w:t>:</w:t>
      </w:r>
    </w:p>
    <w:p w:rsidR="00F53C8D" w:rsidRDefault="00F53C8D" w:rsidP="002256BB">
      <w:pPr>
        <w:pStyle w:val="StandardWeb"/>
        <w:spacing w:before="0" w:beforeAutospacing="0" w:after="0" w:afterAutospacing="0"/>
        <w:rPr>
          <w:rFonts w:ascii="Verdana" w:hAnsi="Verdana"/>
          <w:sz w:val="20"/>
          <w:szCs w:val="20"/>
        </w:rPr>
      </w:pPr>
      <w:r w:rsidRPr="00C84D8B">
        <w:rPr>
          <w:rFonts w:ascii="Verdana" w:hAnsi="Verdana"/>
          <w:sz w:val="20"/>
          <w:szCs w:val="20"/>
        </w:rPr>
        <w:t xml:space="preserve">Art 26 Abs. 1a nur bei Einbeziehung eines weiteren </w:t>
      </w:r>
      <w:proofErr w:type="spellStart"/>
      <w:r w:rsidR="001426EB">
        <w:rPr>
          <w:rFonts w:ascii="Verdana" w:hAnsi="Verdana"/>
          <w:sz w:val="20"/>
          <w:szCs w:val="20"/>
        </w:rPr>
        <w:t>Processors</w:t>
      </w:r>
      <w:proofErr w:type="spellEnd"/>
      <w:r w:rsidR="001426EB" w:rsidRPr="00C84D8B">
        <w:rPr>
          <w:rFonts w:ascii="Verdana" w:hAnsi="Verdana"/>
          <w:sz w:val="20"/>
          <w:szCs w:val="20"/>
        </w:rPr>
        <w:t xml:space="preserve"> </w:t>
      </w:r>
      <w:r w:rsidRPr="00C84D8B">
        <w:rPr>
          <w:rFonts w:ascii="Verdana" w:hAnsi="Verdana"/>
          <w:sz w:val="20"/>
          <w:szCs w:val="20"/>
        </w:rPr>
        <w:t xml:space="preserve">für die Hauptleistung und keine Geltung, wenn die Kenntnisnahme von personenbezogenen Daten durch den Dienstleister des </w:t>
      </w:r>
      <w:proofErr w:type="spellStart"/>
      <w:r w:rsidR="001426EB">
        <w:rPr>
          <w:rFonts w:ascii="Verdana" w:hAnsi="Verdana"/>
          <w:sz w:val="20"/>
          <w:szCs w:val="20"/>
        </w:rPr>
        <w:t>Processors</w:t>
      </w:r>
      <w:proofErr w:type="spellEnd"/>
      <w:r w:rsidR="001426EB" w:rsidRPr="00C84D8B">
        <w:rPr>
          <w:rFonts w:ascii="Verdana" w:hAnsi="Verdana"/>
          <w:sz w:val="20"/>
          <w:szCs w:val="20"/>
        </w:rPr>
        <w:t xml:space="preserve"> </w:t>
      </w:r>
      <w:r w:rsidRPr="00C84D8B">
        <w:rPr>
          <w:rFonts w:ascii="Verdana" w:hAnsi="Verdana"/>
          <w:sz w:val="20"/>
          <w:szCs w:val="20"/>
        </w:rPr>
        <w:t xml:space="preserve">bei der Wartung der Anlage des Dienstleisters nicht auszuschließen ist. </w:t>
      </w:r>
    </w:p>
    <w:p w:rsidR="001448FE" w:rsidRPr="00C84D8B" w:rsidRDefault="001448FE" w:rsidP="002256BB">
      <w:pPr>
        <w:pStyle w:val="StandardWeb"/>
        <w:spacing w:before="0" w:beforeAutospacing="0" w:after="0" w:afterAutospacing="0"/>
        <w:rPr>
          <w:rFonts w:ascii="Verdana" w:hAnsi="Verdana"/>
          <w:sz w:val="20"/>
          <w:szCs w:val="20"/>
        </w:rPr>
      </w:pPr>
    </w:p>
    <w:p w:rsidR="00B80B22" w:rsidRPr="00C84D8B" w:rsidRDefault="00C84D8B" w:rsidP="002256BB">
      <w:pPr>
        <w:pStyle w:val="StandardWeb"/>
        <w:spacing w:before="0" w:beforeAutospacing="0" w:after="0" w:afterAutospacing="0"/>
        <w:rPr>
          <w:rFonts w:ascii="Verdana" w:hAnsi="Verdana"/>
          <w:sz w:val="20"/>
          <w:szCs w:val="20"/>
        </w:rPr>
      </w:pPr>
      <w:r w:rsidRPr="00C84D8B">
        <w:rPr>
          <w:rFonts w:ascii="Verdana" w:hAnsi="Verdana"/>
          <w:sz w:val="20"/>
          <w:szCs w:val="20"/>
        </w:rPr>
        <w:t>Vorschlag als Art. 26 Abs. 3a</w:t>
      </w:r>
    </w:p>
    <w:p w:rsidR="00BA4C71" w:rsidRPr="00C84D8B" w:rsidRDefault="00C84D8B" w:rsidP="00C84D8B">
      <w:pPr>
        <w:ind w:left="708"/>
        <w:rPr>
          <w:rFonts w:ascii="Helvetica" w:hAnsi="Helvetica" w:cs="Helvetica"/>
          <w:i/>
          <w:iCs/>
          <w:lang w:eastAsia="de-DE"/>
        </w:rPr>
      </w:pPr>
      <w:r w:rsidRPr="00C84D8B">
        <w:rPr>
          <w:rFonts w:ascii="Helvetica" w:hAnsi="Helvetica" w:cs="Helvetica"/>
          <w:i/>
          <w:iCs/>
          <w:lang w:eastAsia="de-DE"/>
        </w:rPr>
        <w:t xml:space="preserve"> „</w:t>
      </w:r>
      <w:r w:rsidR="00F53C8D" w:rsidRPr="00C84D8B">
        <w:rPr>
          <w:rFonts w:ascii="Helvetica" w:hAnsi="Helvetica" w:cs="Helvetica"/>
          <w:i/>
          <w:iCs/>
          <w:lang w:eastAsia="de-DE"/>
        </w:rPr>
        <w:t>Keine Verarbeitung von Daten im Auftrag nach Absatz 1 liegt vor, wenn fremd in Anspruch genommene Tätigkeiten nicht den Zweck der  Verarbeitung personenbezogener Daten haben, sondern in denen andere Dienstleistungsschwerpunkte im Vordergrund stehen und der damit verbundene Umgang mit personenbezogenen Daten nur unvermeidlich oder eine Kenntnisnahme personenbezogener Daten bei der Leistungserbringung nicht ausgeschlossen ist.</w:t>
      </w:r>
      <w:r w:rsidRPr="00C84D8B">
        <w:rPr>
          <w:rFonts w:ascii="Helvetica" w:hAnsi="Helvetica" w:cs="Helvetica"/>
          <w:i/>
          <w:iCs/>
          <w:lang w:eastAsia="de-DE"/>
        </w:rPr>
        <w:t xml:space="preserve"> In diesem Fall ist eine Geheimhaltungsverpflichtung des Dienstleisters sowie eine Beschränkung der Kenntnisnahme auf die Zweckbindung der Dienstleistung erforderlich.“</w:t>
      </w:r>
    </w:p>
    <w:p w:rsidR="00F53C8D" w:rsidRPr="00C84D8B" w:rsidRDefault="00F7380E" w:rsidP="00F53C8D">
      <w:pPr>
        <w:rPr>
          <w:rFonts w:ascii="Helvetica" w:hAnsi="Helvetica" w:cs="Helvetica"/>
          <w:lang w:eastAsia="de-DE"/>
        </w:rPr>
      </w:pPr>
      <w:r w:rsidRPr="00C84D8B">
        <w:rPr>
          <w:rFonts w:ascii="Helvetica" w:hAnsi="Helvetica" w:cs="Helvetica"/>
          <w:iCs/>
          <w:lang w:eastAsia="de-DE"/>
        </w:rPr>
        <w:t xml:space="preserve">(so auch das Bayerische Landesamt für Datenschutzaufsicht, Erläuterungen zu § 11 BDSB, abrufbar unter www.lda.bayern.de) </w:t>
      </w:r>
    </w:p>
    <w:p w:rsidR="00F53C8D" w:rsidRPr="00C84D8B" w:rsidRDefault="00F53C8D" w:rsidP="005813CF">
      <w:pPr>
        <w:rPr>
          <w:rFonts w:ascii="Verdana" w:hAnsi="Verdana"/>
          <w:sz w:val="20"/>
          <w:szCs w:val="20"/>
          <w:highlight w:val="yellow"/>
        </w:rPr>
      </w:pPr>
      <w:r w:rsidRPr="00C84D8B">
        <w:rPr>
          <w:rFonts w:ascii="Helvetica" w:hAnsi="Helvetica" w:cs="Helvetica"/>
          <w:iCs/>
          <w:lang w:eastAsia="de-DE"/>
        </w:rPr>
        <w:t> </w:t>
      </w:r>
    </w:p>
    <w:p w:rsidR="00F7380E" w:rsidRPr="00C84D8B" w:rsidRDefault="00F7380E" w:rsidP="00F53C8D">
      <w:pPr>
        <w:pStyle w:val="StandardWeb"/>
        <w:spacing w:before="0" w:beforeAutospacing="0" w:after="0" w:afterAutospacing="0"/>
        <w:rPr>
          <w:rFonts w:ascii="Verdana" w:hAnsi="Verdana"/>
          <w:b/>
          <w:sz w:val="20"/>
          <w:szCs w:val="20"/>
        </w:rPr>
      </w:pPr>
    </w:p>
    <w:p w:rsidR="00F7380E" w:rsidRPr="00E908F8" w:rsidRDefault="00F7380E" w:rsidP="00F53C8D">
      <w:pPr>
        <w:pStyle w:val="StandardWeb"/>
        <w:spacing w:before="0" w:beforeAutospacing="0" w:after="0" w:afterAutospacing="0"/>
        <w:rPr>
          <w:rFonts w:ascii="Verdana" w:hAnsi="Verdana"/>
          <w:b/>
          <w:sz w:val="22"/>
          <w:szCs w:val="22"/>
        </w:rPr>
      </w:pPr>
      <w:r w:rsidRPr="00E908F8">
        <w:rPr>
          <w:rFonts w:ascii="Verdana" w:hAnsi="Verdana"/>
          <w:b/>
          <w:sz w:val="22"/>
          <w:szCs w:val="22"/>
        </w:rPr>
        <w:t>Art. 26 Abs. 1a /</w:t>
      </w:r>
      <w:proofErr w:type="spellStart"/>
      <w:r w:rsidR="001426EB">
        <w:rPr>
          <w:rFonts w:ascii="Verdana" w:hAnsi="Verdana"/>
          <w:b/>
          <w:bCs/>
          <w:iCs/>
          <w:sz w:val="22"/>
          <w:szCs w:val="22"/>
        </w:rPr>
        <w:t>Processor</w:t>
      </w:r>
      <w:proofErr w:type="spellEnd"/>
      <w:r w:rsidR="001426EB" w:rsidRPr="00E908F8">
        <w:rPr>
          <w:rFonts w:ascii="Verdana" w:hAnsi="Verdana"/>
          <w:b/>
          <w:sz w:val="22"/>
          <w:szCs w:val="22"/>
        </w:rPr>
        <w:t xml:space="preserve"> </w:t>
      </w:r>
      <w:r w:rsidRPr="00E908F8">
        <w:rPr>
          <w:rFonts w:ascii="Verdana" w:hAnsi="Verdana"/>
          <w:b/>
          <w:sz w:val="22"/>
          <w:szCs w:val="22"/>
        </w:rPr>
        <w:t>(Formerfordernisse)</w:t>
      </w:r>
    </w:p>
    <w:p w:rsidR="00F7380E" w:rsidRPr="00C84D8B" w:rsidRDefault="00F7380E" w:rsidP="00F53C8D">
      <w:pPr>
        <w:pStyle w:val="StandardWeb"/>
        <w:spacing w:before="0" w:beforeAutospacing="0" w:after="0" w:afterAutospacing="0"/>
        <w:rPr>
          <w:rFonts w:ascii="Verdana" w:hAnsi="Verdana"/>
          <w:b/>
          <w:sz w:val="20"/>
          <w:szCs w:val="20"/>
        </w:rPr>
      </w:pPr>
    </w:p>
    <w:p w:rsidR="00F7380E" w:rsidRPr="00C84D8B" w:rsidRDefault="00F7380E" w:rsidP="00F53C8D">
      <w:pPr>
        <w:pStyle w:val="StandardWeb"/>
        <w:spacing w:before="0" w:beforeAutospacing="0" w:after="0" w:afterAutospacing="0"/>
        <w:rPr>
          <w:rFonts w:ascii="Verdana" w:hAnsi="Verdana"/>
          <w:sz w:val="20"/>
          <w:szCs w:val="20"/>
        </w:rPr>
      </w:pPr>
      <w:r w:rsidRPr="00C84D8B">
        <w:rPr>
          <w:rFonts w:ascii="Verdana" w:hAnsi="Verdana"/>
          <w:sz w:val="20"/>
          <w:szCs w:val="20"/>
        </w:rPr>
        <w:t>Die strenge Schriftformklausel in § 11 Abs. 1 BDSG zeigt, dass dies</w:t>
      </w:r>
      <w:r w:rsidR="008A6643" w:rsidRPr="00C84D8B">
        <w:rPr>
          <w:rFonts w:ascii="Verdana" w:hAnsi="Verdana"/>
          <w:sz w:val="20"/>
          <w:szCs w:val="20"/>
        </w:rPr>
        <w:t>e Vorgabe</w:t>
      </w:r>
      <w:r w:rsidRPr="00C84D8B">
        <w:rPr>
          <w:rFonts w:ascii="Verdana" w:hAnsi="Verdana"/>
          <w:sz w:val="20"/>
          <w:szCs w:val="20"/>
        </w:rPr>
        <w:t xml:space="preserve"> digitalisierte Geschäftsmodelle sehr </w:t>
      </w:r>
      <w:r w:rsidR="008A6643" w:rsidRPr="00C84D8B">
        <w:rPr>
          <w:rFonts w:ascii="Verdana" w:hAnsi="Verdana"/>
          <w:sz w:val="20"/>
          <w:szCs w:val="20"/>
        </w:rPr>
        <w:t xml:space="preserve">erschwert, wenn nicht gar </w:t>
      </w:r>
      <w:r w:rsidRPr="00C84D8B">
        <w:rPr>
          <w:rFonts w:ascii="Verdana" w:hAnsi="Verdana"/>
          <w:sz w:val="20"/>
          <w:szCs w:val="20"/>
        </w:rPr>
        <w:t>einschränkt. In der EU-DSGVO sollte beachtet werden, dass nicht durch zu hohe formelle Anforderungen oder unzureichende Übersetzungen das Z</w:t>
      </w:r>
      <w:r w:rsidR="008A6643" w:rsidRPr="00C84D8B">
        <w:rPr>
          <w:rFonts w:ascii="Verdana" w:hAnsi="Verdana"/>
          <w:sz w:val="20"/>
          <w:szCs w:val="20"/>
        </w:rPr>
        <w:t>i</w:t>
      </w:r>
      <w:r w:rsidR="00F941A3" w:rsidRPr="00C84D8B">
        <w:rPr>
          <w:rFonts w:ascii="Verdana" w:hAnsi="Verdana"/>
          <w:sz w:val="20"/>
          <w:szCs w:val="20"/>
        </w:rPr>
        <w:t>e</w:t>
      </w:r>
      <w:r w:rsidRPr="00C84D8B">
        <w:rPr>
          <w:rFonts w:ascii="Verdana" w:hAnsi="Verdana"/>
          <w:sz w:val="20"/>
          <w:szCs w:val="20"/>
        </w:rPr>
        <w:t xml:space="preserve">l der Erleichterung der Datenverarbeitung in Europa erschwert wird. </w:t>
      </w:r>
    </w:p>
    <w:p w:rsidR="00BA4C71" w:rsidRPr="00C84D8B" w:rsidRDefault="00BA4C71" w:rsidP="00F53C8D">
      <w:pPr>
        <w:pStyle w:val="StandardWeb"/>
        <w:spacing w:before="0" w:beforeAutospacing="0" w:after="0" w:afterAutospacing="0"/>
        <w:rPr>
          <w:rFonts w:ascii="Verdana" w:hAnsi="Verdana"/>
          <w:b/>
          <w:sz w:val="20"/>
          <w:szCs w:val="20"/>
        </w:rPr>
      </w:pPr>
    </w:p>
    <w:p w:rsidR="00F7380E" w:rsidRPr="00C84D8B" w:rsidRDefault="00F7380E" w:rsidP="00F53C8D">
      <w:pPr>
        <w:pStyle w:val="StandardWeb"/>
        <w:spacing w:before="0" w:beforeAutospacing="0" w:after="0" w:afterAutospacing="0"/>
        <w:rPr>
          <w:rFonts w:ascii="Verdana" w:hAnsi="Verdana"/>
          <w:sz w:val="20"/>
          <w:szCs w:val="20"/>
        </w:rPr>
      </w:pPr>
      <w:r w:rsidRPr="00C84D8B">
        <w:rPr>
          <w:rFonts w:ascii="Verdana" w:hAnsi="Verdana"/>
          <w:b/>
          <w:sz w:val="20"/>
          <w:szCs w:val="20"/>
        </w:rPr>
        <w:t>Empfehlung</w:t>
      </w:r>
      <w:r w:rsidRPr="00C84D8B">
        <w:rPr>
          <w:rFonts w:ascii="Verdana" w:hAnsi="Verdana"/>
          <w:sz w:val="20"/>
          <w:szCs w:val="20"/>
        </w:rPr>
        <w:t>:</w:t>
      </w:r>
    </w:p>
    <w:p w:rsidR="00F53C8D" w:rsidRPr="00C84D8B" w:rsidRDefault="00F53C8D" w:rsidP="00F53C8D">
      <w:pPr>
        <w:pStyle w:val="StandardWeb"/>
        <w:spacing w:before="0" w:beforeAutospacing="0" w:after="0" w:afterAutospacing="0"/>
        <w:rPr>
          <w:rFonts w:ascii="Verdana" w:hAnsi="Verdana"/>
          <w:sz w:val="20"/>
          <w:szCs w:val="20"/>
        </w:rPr>
      </w:pPr>
      <w:r w:rsidRPr="00C84D8B">
        <w:rPr>
          <w:rFonts w:ascii="Verdana" w:hAnsi="Verdana"/>
          <w:sz w:val="20"/>
          <w:szCs w:val="20"/>
        </w:rPr>
        <w:t>Hinsichtlich der Anforderung des „</w:t>
      </w:r>
      <w:proofErr w:type="spellStart"/>
      <w:r w:rsidRPr="00C84D8B">
        <w:rPr>
          <w:rFonts w:ascii="Verdana" w:hAnsi="Verdana"/>
          <w:sz w:val="20"/>
          <w:szCs w:val="20"/>
        </w:rPr>
        <w:t>written</w:t>
      </w:r>
      <w:proofErr w:type="spellEnd"/>
      <w:r w:rsidRPr="00C84D8B">
        <w:rPr>
          <w:rFonts w:ascii="Verdana" w:hAnsi="Verdana"/>
          <w:sz w:val="20"/>
          <w:szCs w:val="20"/>
        </w:rPr>
        <w:t xml:space="preserve"> </w:t>
      </w:r>
      <w:proofErr w:type="spellStart"/>
      <w:r w:rsidRPr="00C84D8B">
        <w:rPr>
          <w:rFonts w:ascii="Verdana" w:hAnsi="Verdana"/>
          <w:sz w:val="20"/>
          <w:szCs w:val="20"/>
        </w:rPr>
        <w:t>consent</w:t>
      </w:r>
      <w:proofErr w:type="spellEnd"/>
      <w:r w:rsidRPr="00C84D8B">
        <w:rPr>
          <w:rFonts w:ascii="Verdana" w:hAnsi="Verdana"/>
          <w:sz w:val="20"/>
          <w:szCs w:val="20"/>
        </w:rPr>
        <w:t>“</w:t>
      </w:r>
      <w:r w:rsidR="008A6643" w:rsidRPr="00C84D8B">
        <w:rPr>
          <w:rFonts w:ascii="Verdana" w:hAnsi="Verdana"/>
          <w:sz w:val="20"/>
          <w:szCs w:val="20"/>
        </w:rPr>
        <w:t xml:space="preserve"> in Art. 26 Abs. 1a </w:t>
      </w:r>
      <w:r w:rsidRPr="00C84D8B">
        <w:rPr>
          <w:rFonts w:ascii="Verdana" w:hAnsi="Verdana"/>
          <w:sz w:val="20"/>
          <w:szCs w:val="20"/>
        </w:rPr>
        <w:t xml:space="preserve"> ist in der deutschen Fassung darauf zu achten, dass Textform ausreicht, da dem </w:t>
      </w:r>
      <w:r w:rsidR="00F7380E" w:rsidRPr="00C84D8B">
        <w:rPr>
          <w:rFonts w:ascii="Verdana" w:hAnsi="Verdana"/>
          <w:sz w:val="20"/>
          <w:szCs w:val="20"/>
        </w:rPr>
        <w:t xml:space="preserve">gesetzlichen </w:t>
      </w:r>
      <w:r w:rsidRPr="00C84D8B">
        <w:rPr>
          <w:rFonts w:ascii="Verdana" w:hAnsi="Verdana"/>
          <w:sz w:val="20"/>
          <w:szCs w:val="20"/>
        </w:rPr>
        <w:t xml:space="preserve">Schriftformerfordernis </w:t>
      </w:r>
      <w:r w:rsidR="00F7380E" w:rsidRPr="00C84D8B">
        <w:rPr>
          <w:rFonts w:ascii="Verdana" w:hAnsi="Verdana"/>
          <w:sz w:val="20"/>
          <w:szCs w:val="20"/>
        </w:rPr>
        <w:t xml:space="preserve">nach den Regelungen des BGB </w:t>
      </w:r>
      <w:r w:rsidRPr="00C84D8B">
        <w:rPr>
          <w:rFonts w:ascii="Verdana" w:hAnsi="Verdana"/>
          <w:sz w:val="20"/>
          <w:szCs w:val="20"/>
        </w:rPr>
        <w:t xml:space="preserve">durch eine Zustimmung in elektronischer Form </w:t>
      </w:r>
      <w:r w:rsidR="00F7380E" w:rsidRPr="00C84D8B">
        <w:rPr>
          <w:rFonts w:ascii="Verdana" w:hAnsi="Verdana"/>
          <w:sz w:val="20"/>
          <w:szCs w:val="20"/>
        </w:rPr>
        <w:t xml:space="preserve">allein durch eine qualifiziert elektronische Signatur </w:t>
      </w:r>
      <w:r w:rsidRPr="00C84D8B">
        <w:rPr>
          <w:rFonts w:ascii="Verdana" w:hAnsi="Verdana"/>
          <w:sz w:val="20"/>
          <w:szCs w:val="20"/>
        </w:rPr>
        <w:t>genüge getan werden kann.</w:t>
      </w:r>
    </w:p>
    <w:p w:rsidR="008A6643" w:rsidRPr="00C84D8B" w:rsidRDefault="008A6643" w:rsidP="00F53C8D">
      <w:pPr>
        <w:pStyle w:val="StandardWeb"/>
        <w:spacing w:before="0" w:beforeAutospacing="0" w:after="0" w:afterAutospacing="0"/>
        <w:rPr>
          <w:rFonts w:ascii="Verdana" w:hAnsi="Verdana"/>
          <w:sz w:val="20"/>
          <w:szCs w:val="20"/>
        </w:rPr>
      </w:pPr>
      <w:r w:rsidRPr="00C84D8B">
        <w:rPr>
          <w:rFonts w:ascii="Verdana" w:hAnsi="Verdana"/>
          <w:sz w:val="20"/>
          <w:szCs w:val="20"/>
        </w:rPr>
        <w:t>Bei der Formulierung des Art. 26 Abs. 2 ist zu beachten, dass keine Formvorschriften für die Beauftragung vorgebeben werden, die ein gesetzliches Schriftformerfordernis darstellen.</w:t>
      </w:r>
    </w:p>
    <w:p w:rsidR="00F53C8D" w:rsidRPr="00C84D8B" w:rsidRDefault="00F53C8D" w:rsidP="002256BB">
      <w:pPr>
        <w:pStyle w:val="StandardWeb"/>
        <w:spacing w:before="0" w:beforeAutospacing="0" w:after="0" w:afterAutospacing="0"/>
        <w:rPr>
          <w:rFonts w:ascii="Verdana" w:hAnsi="Verdana"/>
          <w:sz w:val="20"/>
          <w:szCs w:val="20"/>
        </w:rPr>
      </w:pPr>
    </w:p>
    <w:p w:rsidR="00F53C8D" w:rsidRPr="00C84D8B" w:rsidRDefault="00F53C8D" w:rsidP="002256BB">
      <w:pPr>
        <w:pStyle w:val="StandardWeb"/>
        <w:spacing w:before="0" w:beforeAutospacing="0" w:after="0" w:afterAutospacing="0"/>
        <w:rPr>
          <w:rFonts w:ascii="Verdana" w:hAnsi="Verdana"/>
          <w:sz w:val="20"/>
          <w:szCs w:val="20"/>
        </w:rPr>
      </w:pPr>
    </w:p>
    <w:p w:rsidR="00F53C8D" w:rsidRDefault="00F53C8D" w:rsidP="00E908F8">
      <w:pPr>
        <w:pStyle w:val="StandardWeb"/>
        <w:spacing w:before="0" w:beforeAutospacing="0" w:after="0" w:afterAutospacing="0"/>
        <w:rPr>
          <w:rFonts w:ascii="Verdana" w:hAnsi="Verdana"/>
          <w:b/>
          <w:sz w:val="22"/>
          <w:szCs w:val="22"/>
        </w:rPr>
      </w:pPr>
      <w:r w:rsidRPr="00E908F8">
        <w:rPr>
          <w:rFonts w:ascii="Verdana" w:hAnsi="Verdana"/>
          <w:b/>
          <w:sz w:val="22"/>
          <w:szCs w:val="22"/>
        </w:rPr>
        <w:lastRenderedPageBreak/>
        <w:t xml:space="preserve">Art. 26 / </w:t>
      </w:r>
      <w:proofErr w:type="spellStart"/>
      <w:r w:rsidR="001426EB">
        <w:rPr>
          <w:rFonts w:ascii="Verdana" w:hAnsi="Verdana"/>
          <w:b/>
          <w:sz w:val="22"/>
          <w:szCs w:val="22"/>
        </w:rPr>
        <w:t>Processor</w:t>
      </w:r>
      <w:proofErr w:type="spellEnd"/>
      <w:r w:rsidR="001426EB" w:rsidRPr="00E908F8">
        <w:rPr>
          <w:rFonts w:ascii="Verdana" w:hAnsi="Verdana"/>
          <w:b/>
          <w:sz w:val="22"/>
          <w:szCs w:val="22"/>
        </w:rPr>
        <w:t xml:space="preserve"> </w:t>
      </w:r>
      <w:r w:rsidRPr="00E908F8">
        <w:rPr>
          <w:rFonts w:ascii="Verdana" w:hAnsi="Verdana"/>
          <w:b/>
          <w:sz w:val="22"/>
          <w:szCs w:val="22"/>
        </w:rPr>
        <w:t>(Rechenzentrumstourismus)</w:t>
      </w:r>
    </w:p>
    <w:p w:rsidR="00E908F8" w:rsidRPr="00E908F8" w:rsidRDefault="00E908F8" w:rsidP="00E908F8">
      <w:pPr>
        <w:pStyle w:val="StandardWeb"/>
        <w:spacing w:before="0" w:beforeAutospacing="0" w:after="0" w:afterAutospacing="0"/>
        <w:rPr>
          <w:rFonts w:ascii="Verdana" w:hAnsi="Verdana"/>
          <w:b/>
          <w:sz w:val="22"/>
          <w:szCs w:val="22"/>
        </w:rPr>
      </w:pPr>
    </w:p>
    <w:p w:rsidR="002256BB" w:rsidRPr="00C84D8B" w:rsidRDefault="002256BB" w:rsidP="002256BB">
      <w:pPr>
        <w:pStyle w:val="StandardWeb"/>
        <w:spacing w:before="0" w:beforeAutospacing="0" w:after="0" w:afterAutospacing="0"/>
      </w:pPr>
      <w:r w:rsidRPr="00C84D8B">
        <w:rPr>
          <w:rFonts w:ascii="Verdana" w:hAnsi="Verdana"/>
          <w:sz w:val="20"/>
          <w:szCs w:val="20"/>
        </w:rPr>
        <w:t xml:space="preserve">Problematisch ist, dass dem Controller </w:t>
      </w:r>
      <w:r w:rsidR="001448FE">
        <w:rPr>
          <w:rFonts w:ascii="Verdana" w:hAnsi="Verdana"/>
          <w:sz w:val="20"/>
          <w:szCs w:val="20"/>
        </w:rPr>
        <w:t xml:space="preserve">die Überprüfung der Wirksamkeit der Datenschutz-Maßnahmen bei der Verarbeitung </w:t>
      </w:r>
      <w:r w:rsidR="001448FE" w:rsidRPr="00C84D8B">
        <w:rPr>
          <w:rFonts w:ascii="Verdana" w:hAnsi="Verdana"/>
          <w:sz w:val="20"/>
          <w:szCs w:val="20"/>
        </w:rPr>
        <w:t xml:space="preserve">beim </w:t>
      </w:r>
      <w:proofErr w:type="spellStart"/>
      <w:r w:rsidR="001426EB">
        <w:rPr>
          <w:rFonts w:ascii="Verdana" w:hAnsi="Verdana"/>
          <w:sz w:val="20"/>
          <w:szCs w:val="20"/>
        </w:rPr>
        <w:t>Processor</w:t>
      </w:r>
      <w:r w:rsidRPr="00C84D8B">
        <w:rPr>
          <w:rFonts w:ascii="Verdana" w:hAnsi="Verdana"/>
          <w:sz w:val="20"/>
          <w:szCs w:val="20"/>
        </w:rPr>
        <w:t>in</w:t>
      </w:r>
      <w:proofErr w:type="spellEnd"/>
      <w:r w:rsidRPr="00C84D8B">
        <w:rPr>
          <w:rFonts w:ascii="Verdana" w:hAnsi="Verdana"/>
          <w:sz w:val="20"/>
          <w:szCs w:val="20"/>
        </w:rPr>
        <w:t xml:space="preserve"> der Regel aufgrund seiner Kenntnisse nicht </w:t>
      </w:r>
      <w:r w:rsidR="001448FE">
        <w:rPr>
          <w:rFonts w:ascii="Verdana" w:hAnsi="Verdana"/>
          <w:sz w:val="20"/>
          <w:szCs w:val="20"/>
        </w:rPr>
        <w:t xml:space="preserve">wirksam </w:t>
      </w:r>
      <w:r w:rsidRPr="00C84D8B">
        <w:rPr>
          <w:rFonts w:ascii="Verdana" w:hAnsi="Verdana"/>
          <w:sz w:val="20"/>
          <w:szCs w:val="20"/>
        </w:rPr>
        <w:t>möglich</w:t>
      </w:r>
      <w:r w:rsidR="00EB7721" w:rsidRPr="00C84D8B">
        <w:rPr>
          <w:rFonts w:ascii="Verdana" w:hAnsi="Verdana"/>
          <w:sz w:val="20"/>
          <w:szCs w:val="20"/>
        </w:rPr>
        <w:t xml:space="preserve"> ist</w:t>
      </w:r>
      <w:r w:rsidRPr="00C84D8B">
        <w:rPr>
          <w:rFonts w:ascii="Verdana" w:hAnsi="Verdana"/>
          <w:sz w:val="20"/>
          <w:szCs w:val="20"/>
        </w:rPr>
        <w:t xml:space="preserve">. Die Überprüfung </w:t>
      </w:r>
      <w:r w:rsidR="00F53C8D" w:rsidRPr="00C84D8B">
        <w:rPr>
          <w:rFonts w:ascii="Verdana" w:hAnsi="Verdana"/>
          <w:sz w:val="20"/>
          <w:szCs w:val="20"/>
        </w:rPr>
        <w:t xml:space="preserve">für </w:t>
      </w:r>
      <w:r w:rsidR="001426EB">
        <w:rPr>
          <w:rFonts w:ascii="Verdana" w:hAnsi="Verdana"/>
          <w:sz w:val="20"/>
          <w:szCs w:val="20"/>
        </w:rPr>
        <w:t>den Controller</w:t>
      </w:r>
      <w:r w:rsidR="001426EB" w:rsidRPr="00C84D8B">
        <w:rPr>
          <w:rFonts w:ascii="Verdana" w:hAnsi="Verdana"/>
          <w:sz w:val="20"/>
          <w:szCs w:val="20"/>
        </w:rPr>
        <w:t xml:space="preserve"> </w:t>
      </w:r>
      <w:r w:rsidR="00F53C8D" w:rsidRPr="00C84D8B">
        <w:rPr>
          <w:rFonts w:ascii="Verdana" w:hAnsi="Verdana"/>
          <w:sz w:val="20"/>
          <w:szCs w:val="20"/>
        </w:rPr>
        <w:t xml:space="preserve"> </w:t>
      </w:r>
      <w:r w:rsidR="001448FE" w:rsidRPr="00C84D8B">
        <w:rPr>
          <w:rFonts w:ascii="Verdana" w:hAnsi="Verdana"/>
          <w:sz w:val="20"/>
          <w:szCs w:val="20"/>
        </w:rPr>
        <w:t xml:space="preserve">durch Prüfer </w:t>
      </w:r>
      <w:r w:rsidRPr="00C84D8B">
        <w:rPr>
          <w:rFonts w:ascii="Verdana" w:hAnsi="Verdana"/>
          <w:sz w:val="20"/>
          <w:szCs w:val="20"/>
        </w:rPr>
        <w:t xml:space="preserve">in jedem Einzelfall kann zu einem regelrechten „Rechenzentrumstourismus“ führen (vorgesehen in Art. 26 II (h)). Dieser </w:t>
      </w:r>
      <w:r w:rsidR="00EB7721" w:rsidRPr="00C84D8B">
        <w:rPr>
          <w:rFonts w:ascii="Verdana" w:hAnsi="Verdana"/>
          <w:sz w:val="20"/>
          <w:szCs w:val="20"/>
        </w:rPr>
        <w:t xml:space="preserve">Prüfungsakt selbst </w:t>
      </w:r>
      <w:r w:rsidRPr="00C84D8B">
        <w:rPr>
          <w:rFonts w:ascii="Verdana" w:hAnsi="Verdana"/>
          <w:sz w:val="20"/>
          <w:szCs w:val="20"/>
        </w:rPr>
        <w:t>stellt nicht nur ein potentielles Sicherheitsrisiko dar</w:t>
      </w:r>
      <w:r w:rsidR="00EB7721" w:rsidRPr="00C84D8B">
        <w:rPr>
          <w:rFonts w:ascii="Verdana" w:hAnsi="Verdana"/>
          <w:sz w:val="20"/>
          <w:szCs w:val="20"/>
        </w:rPr>
        <w:t xml:space="preserve"> (Betreten der Sicherheitsbereiche durch betriebsfremde Personen)</w:t>
      </w:r>
      <w:r w:rsidRPr="00C84D8B">
        <w:rPr>
          <w:rFonts w:ascii="Verdana" w:hAnsi="Verdana"/>
          <w:sz w:val="20"/>
          <w:szCs w:val="20"/>
        </w:rPr>
        <w:t>, sondern erschwert auch effektive Arbeitsabläufe. Im Rahmen einer Auslagerung von weisungsgebundenen Datenverarbeitungsprozessen in eine Cloud müsste der Cloud-Nutzer sogar die Wirksamkeit der Maßnahmen an sämtlichen Orten prüfen, an denen die vom ihm bereit gestellten Daten (potentiell) verarbeitet werden</w:t>
      </w:r>
      <w:r w:rsidR="00EB7721" w:rsidRPr="00C84D8B">
        <w:rPr>
          <w:rFonts w:ascii="Verdana" w:hAnsi="Verdana"/>
          <w:sz w:val="20"/>
          <w:szCs w:val="20"/>
        </w:rPr>
        <w:t xml:space="preserve"> (könnten)</w:t>
      </w:r>
      <w:r w:rsidRPr="00C84D8B">
        <w:rPr>
          <w:rFonts w:ascii="Verdana" w:hAnsi="Verdana"/>
          <w:sz w:val="20"/>
          <w:szCs w:val="20"/>
        </w:rPr>
        <w:t xml:space="preserve">. </w:t>
      </w:r>
    </w:p>
    <w:p w:rsidR="002256BB" w:rsidRPr="00C84D8B" w:rsidRDefault="002256BB" w:rsidP="002256BB">
      <w:pPr>
        <w:pStyle w:val="StandardWeb"/>
        <w:spacing w:before="0" w:beforeAutospacing="0" w:after="0" w:afterAutospacing="0"/>
        <w:ind w:left="825"/>
        <w:rPr>
          <w:rFonts w:ascii="Verdana" w:hAnsi="Verdana"/>
          <w:sz w:val="20"/>
          <w:szCs w:val="20"/>
        </w:rPr>
      </w:pPr>
      <w:r w:rsidRPr="00C84D8B">
        <w:rPr>
          <w:rFonts w:ascii="Verdana" w:hAnsi="Verdana"/>
          <w:sz w:val="20"/>
          <w:szCs w:val="20"/>
        </w:rPr>
        <w:t> </w:t>
      </w:r>
    </w:p>
    <w:p w:rsidR="002256BB" w:rsidRPr="00C84D8B" w:rsidRDefault="002256BB" w:rsidP="002256BB">
      <w:pPr>
        <w:pStyle w:val="StandardWeb"/>
        <w:spacing w:before="0" w:beforeAutospacing="0" w:after="0" w:afterAutospacing="0"/>
        <w:rPr>
          <w:rFonts w:ascii="Verdana" w:hAnsi="Verdana"/>
          <w:sz w:val="20"/>
          <w:szCs w:val="20"/>
        </w:rPr>
      </w:pPr>
      <w:r w:rsidRPr="00C84D8B">
        <w:rPr>
          <w:rFonts w:ascii="Verdana" w:hAnsi="Verdana"/>
          <w:sz w:val="20"/>
          <w:szCs w:val="20"/>
        </w:rPr>
        <w:t xml:space="preserve">Ein verlässlicher Nachweis in Form einer Verhaltensregel nach Artikel 38 oder von Zertifikaten nach Artikel 39 kann hier eine Entlastung für alle Beteiligte sein, ohne das Datenschutzniveau zu gefährden. Gleichzeitig wird hiermit ein Anreiz für die Selbstregulierung zur Konkretisierung rechtlicher und technischer Vorgaben sowie die Sicherung von Compliance geschaffen. Die Durchführung eines Audits durch den </w:t>
      </w:r>
      <w:proofErr w:type="spellStart"/>
      <w:r w:rsidR="001426EB">
        <w:rPr>
          <w:rFonts w:ascii="Verdana" w:hAnsi="Verdana"/>
          <w:sz w:val="20"/>
          <w:szCs w:val="20"/>
        </w:rPr>
        <w:t>Processor</w:t>
      </w:r>
      <w:proofErr w:type="spellEnd"/>
      <w:r w:rsidR="001426EB" w:rsidRPr="00C84D8B">
        <w:rPr>
          <w:rFonts w:ascii="Verdana" w:hAnsi="Verdana"/>
          <w:sz w:val="20"/>
          <w:szCs w:val="20"/>
        </w:rPr>
        <w:t xml:space="preserve"> </w:t>
      </w:r>
      <w:r w:rsidRPr="00C84D8B">
        <w:rPr>
          <w:rFonts w:ascii="Verdana" w:hAnsi="Verdana"/>
          <w:sz w:val="20"/>
          <w:szCs w:val="20"/>
        </w:rPr>
        <w:t xml:space="preserve">sowie die Veröffentlichung der Ergebnisse im Internet gibt dem für die Verarbeitung Verantwortlichen die Möglichkeit, auch ohne eigene technische Sachkenntnis seinen Auswahl- und Kontrollaufgaben nachzukommen. Dabei ist zu beachten, dass der Schutzbedarf unterschiedlich ausgeprägt sein kann, abhängig davon, welche Art von Daten verarbeitet werden. Ein guter Ansatz, dieser Vielfalt gerecht zu werden, sind branchen- und unternehmensspezifische Code </w:t>
      </w:r>
      <w:proofErr w:type="spellStart"/>
      <w:r w:rsidRPr="00C84D8B">
        <w:rPr>
          <w:rFonts w:ascii="Verdana" w:hAnsi="Verdana"/>
          <w:sz w:val="20"/>
          <w:szCs w:val="20"/>
        </w:rPr>
        <w:t>of</w:t>
      </w:r>
      <w:proofErr w:type="spellEnd"/>
      <w:r w:rsidRPr="00C84D8B">
        <w:rPr>
          <w:rFonts w:ascii="Verdana" w:hAnsi="Verdana"/>
          <w:sz w:val="20"/>
          <w:szCs w:val="20"/>
        </w:rPr>
        <w:t xml:space="preserve"> </w:t>
      </w:r>
      <w:proofErr w:type="spellStart"/>
      <w:r w:rsidRPr="00C84D8B">
        <w:rPr>
          <w:rFonts w:ascii="Verdana" w:hAnsi="Verdana"/>
          <w:sz w:val="20"/>
          <w:szCs w:val="20"/>
        </w:rPr>
        <w:t>Conducts</w:t>
      </w:r>
      <w:proofErr w:type="spellEnd"/>
      <w:r w:rsidRPr="00C84D8B">
        <w:rPr>
          <w:rFonts w:ascii="Verdana" w:hAnsi="Verdana"/>
          <w:sz w:val="20"/>
          <w:szCs w:val="20"/>
        </w:rPr>
        <w:t>.</w:t>
      </w:r>
    </w:p>
    <w:p w:rsidR="00B80B22" w:rsidRPr="00C84D8B" w:rsidRDefault="00B80B22" w:rsidP="002256BB">
      <w:pPr>
        <w:pStyle w:val="StandardWeb"/>
        <w:spacing w:before="0" w:beforeAutospacing="0" w:after="0" w:afterAutospacing="0"/>
        <w:rPr>
          <w:rFonts w:ascii="Verdana" w:hAnsi="Verdana"/>
          <w:sz w:val="20"/>
          <w:szCs w:val="20"/>
        </w:rPr>
      </w:pPr>
      <w:r w:rsidRPr="00C84D8B">
        <w:rPr>
          <w:rFonts w:ascii="Verdana" w:hAnsi="Verdana"/>
          <w:sz w:val="20"/>
          <w:szCs w:val="20"/>
        </w:rPr>
        <w:t>Dabei muss es möglich sein, durch bestimmte nachgewiesene Zertifizierungen Kontrollen vor Ort ablehnen zu können, sofern der Anscheinsbeweis des konformen Verarbeitens nicht erschüttert wird.</w:t>
      </w:r>
    </w:p>
    <w:p w:rsidR="002256BB" w:rsidRPr="00C84D8B" w:rsidRDefault="002256BB" w:rsidP="002256BB">
      <w:pPr>
        <w:pStyle w:val="StandardWeb"/>
        <w:spacing w:before="0" w:beforeAutospacing="0" w:after="0" w:afterAutospacing="0"/>
        <w:rPr>
          <w:rFonts w:ascii="Verdana" w:hAnsi="Verdana"/>
          <w:sz w:val="20"/>
          <w:szCs w:val="20"/>
        </w:rPr>
      </w:pPr>
    </w:p>
    <w:p w:rsidR="00B80B22" w:rsidRPr="00C84D8B" w:rsidRDefault="00B80B22" w:rsidP="002256BB">
      <w:pPr>
        <w:pStyle w:val="StandardWeb"/>
        <w:spacing w:before="0" w:beforeAutospacing="0" w:after="0" w:afterAutospacing="0"/>
        <w:rPr>
          <w:rFonts w:ascii="Verdana" w:hAnsi="Verdana"/>
          <w:sz w:val="20"/>
          <w:szCs w:val="20"/>
        </w:rPr>
      </w:pPr>
      <w:r w:rsidRPr="00C84D8B">
        <w:rPr>
          <w:rFonts w:ascii="Verdana" w:hAnsi="Verdana"/>
          <w:b/>
          <w:sz w:val="20"/>
          <w:szCs w:val="20"/>
        </w:rPr>
        <w:t>Empfehlung</w:t>
      </w:r>
      <w:r w:rsidRPr="00C84D8B">
        <w:rPr>
          <w:rFonts w:ascii="Verdana" w:hAnsi="Verdana"/>
          <w:sz w:val="20"/>
          <w:szCs w:val="20"/>
        </w:rPr>
        <w:t>:</w:t>
      </w:r>
    </w:p>
    <w:p w:rsidR="00B80B22" w:rsidRPr="00C84D8B" w:rsidRDefault="00B80B22" w:rsidP="002256BB">
      <w:pPr>
        <w:pStyle w:val="StandardWeb"/>
        <w:spacing w:before="0" w:beforeAutospacing="0" w:after="0" w:afterAutospacing="0"/>
        <w:rPr>
          <w:rFonts w:ascii="Verdana" w:hAnsi="Verdana"/>
          <w:sz w:val="20"/>
          <w:szCs w:val="20"/>
        </w:rPr>
      </w:pPr>
      <w:r w:rsidRPr="00C84D8B">
        <w:rPr>
          <w:rFonts w:ascii="Verdana" w:hAnsi="Verdana"/>
          <w:sz w:val="20"/>
          <w:szCs w:val="20"/>
        </w:rPr>
        <w:t>Ausweitung des</w:t>
      </w:r>
      <w:r w:rsidR="002256BB" w:rsidRPr="00C84D8B">
        <w:rPr>
          <w:rFonts w:ascii="Verdana" w:hAnsi="Verdana"/>
          <w:sz w:val="20"/>
          <w:szCs w:val="20"/>
        </w:rPr>
        <w:t xml:space="preserve"> in Art. 28 </w:t>
      </w:r>
      <w:proofErr w:type="spellStart"/>
      <w:r w:rsidR="002256BB" w:rsidRPr="00C84D8B">
        <w:rPr>
          <w:rFonts w:ascii="Verdana" w:hAnsi="Verdana"/>
          <w:sz w:val="20"/>
          <w:szCs w:val="20"/>
        </w:rPr>
        <w:t>IIaa</w:t>
      </w:r>
      <w:proofErr w:type="spellEnd"/>
      <w:r w:rsidR="002256BB" w:rsidRPr="00C84D8B">
        <w:rPr>
          <w:rFonts w:ascii="Verdana" w:hAnsi="Verdana"/>
          <w:sz w:val="20"/>
          <w:szCs w:val="20"/>
        </w:rPr>
        <w:t xml:space="preserve"> angelegte Anscheinsbeweis auf Art. 28 II (h)</w:t>
      </w:r>
      <w:r w:rsidRPr="00C84D8B">
        <w:rPr>
          <w:rFonts w:ascii="Verdana" w:hAnsi="Verdana"/>
          <w:sz w:val="20"/>
          <w:szCs w:val="20"/>
        </w:rPr>
        <w:t xml:space="preserve"> und R</w:t>
      </w:r>
      <w:r w:rsidR="00F53C8D" w:rsidRPr="00C84D8B">
        <w:rPr>
          <w:rFonts w:ascii="Verdana" w:hAnsi="Verdana"/>
          <w:sz w:val="20"/>
          <w:szCs w:val="20"/>
        </w:rPr>
        <w:t>egelung, in welchen Fällen</w:t>
      </w:r>
      <w:r w:rsidRPr="00C84D8B">
        <w:rPr>
          <w:rFonts w:ascii="Verdana" w:hAnsi="Verdana"/>
          <w:sz w:val="20"/>
          <w:szCs w:val="20"/>
        </w:rPr>
        <w:t xml:space="preserve"> eine Vor Ort-Kontrolle nicht verlangt werden kann.</w:t>
      </w:r>
    </w:p>
    <w:p w:rsidR="002256BB" w:rsidRPr="00C84D8B" w:rsidRDefault="002256BB" w:rsidP="002256BB">
      <w:pPr>
        <w:pStyle w:val="StandardWeb"/>
        <w:spacing w:before="0" w:beforeAutospacing="0" w:after="0" w:afterAutospacing="0"/>
        <w:rPr>
          <w:rFonts w:ascii="Verdana" w:hAnsi="Verdana"/>
          <w:sz w:val="20"/>
          <w:szCs w:val="20"/>
        </w:rPr>
      </w:pPr>
      <w:r w:rsidRPr="00C84D8B">
        <w:rPr>
          <w:rFonts w:ascii="Verdana" w:hAnsi="Verdana"/>
          <w:sz w:val="20"/>
          <w:szCs w:val="20"/>
        </w:rPr>
        <w:t xml:space="preserve"> </w:t>
      </w:r>
    </w:p>
    <w:p w:rsidR="00E908F8" w:rsidRDefault="00E908F8" w:rsidP="002256BB">
      <w:pPr>
        <w:pStyle w:val="StandardWeb"/>
        <w:spacing w:before="0" w:beforeAutospacing="0" w:after="0" w:afterAutospacing="0"/>
        <w:rPr>
          <w:rFonts w:ascii="Verdana" w:hAnsi="Verdana"/>
          <w:b/>
          <w:bCs/>
          <w:sz w:val="22"/>
          <w:szCs w:val="22"/>
        </w:rPr>
      </w:pPr>
    </w:p>
    <w:p w:rsidR="002256BB" w:rsidRPr="00E908F8" w:rsidRDefault="008A6643" w:rsidP="002256BB">
      <w:pPr>
        <w:pStyle w:val="StandardWeb"/>
        <w:spacing w:before="0" w:beforeAutospacing="0" w:after="0" w:afterAutospacing="0"/>
        <w:rPr>
          <w:rFonts w:ascii="Verdana" w:hAnsi="Verdana"/>
          <w:b/>
          <w:bCs/>
          <w:sz w:val="22"/>
          <w:szCs w:val="22"/>
        </w:rPr>
      </w:pPr>
      <w:r w:rsidRPr="00E908F8">
        <w:rPr>
          <w:rFonts w:ascii="Verdana" w:hAnsi="Verdana"/>
          <w:b/>
          <w:bCs/>
          <w:sz w:val="22"/>
          <w:szCs w:val="22"/>
        </w:rPr>
        <w:t xml:space="preserve">Art. 31 / </w:t>
      </w:r>
      <w:r w:rsidR="002256BB" w:rsidRPr="00E908F8">
        <w:rPr>
          <w:rFonts w:ascii="Verdana" w:hAnsi="Verdana"/>
          <w:b/>
          <w:bCs/>
          <w:sz w:val="22"/>
          <w:szCs w:val="22"/>
        </w:rPr>
        <w:t>Meldepflicht</w:t>
      </w:r>
    </w:p>
    <w:p w:rsidR="002256BB" w:rsidRPr="00C84D8B" w:rsidRDefault="002256BB" w:rsidP="002256BB">
      <w:pPr>
        <w:pStyle w:val="StandardWeb"/>
        <w:spacing w:before="0" w:beforeAutospacing="0" w:after="0" w:afterAutospacing="0"/>
        <w:rPr>
          <w:rFonts w:ascii="Verdana" w:hAnsi="Verdana"/>
          <w:sz w:val="20"/>
          <w:szCs w:val="20"/>
        </w:rPr>
      </w:pPr>
    </w:p>
    <w:p w:rsidR="008A6643" w:rsidRPr="00C84D8B" w:rsidRDefault="002256BB" w:rsidP="002256BB">
      <w:pPr>
        <w:pStyle w:val="StandardWeb"/>
        <w:spacing w:before="0" w:beforeAutospacing="0" w:after="0" w:afterAutospacing="0"/>
        <w:rPr>
          <w:rFonts w:ascii="Verdana" w:hAnsi="Verdana"/>
          <w:sz w:val="20"/>
          <w:szCs w:val="20"/>
        </w:rPr>
      </w:pPr>
      <w:r w:rsidRPr="00C84D8B">
        <w:rPr>
          <w:rFonts w:ascii="Verdana" w:hAnsi="Verdana"/>
          <w:sz w:val="20"/>
          <w:szCs w:val="20"/>
        </w:rPr>
        <w:t xml:space="preserve">Es ist zu begrüßen, dass im Ratsdokument 12312/1/14 v. 17.9.2014 in Art. 31 I die Meldepflicht des Controllers auf Fälle, die ein besonderes Risiko für das Datensubjekt bergen, begrenzt wird. Diese Einschränkung der Meldepflicht ist demgegenüber in Art. 31 II nicht vorgesehen: Der </w:t>
      </w:r>
      <w:proofErr w:type="spellStart"/>
      <w:r w:rsidRPr="00C84D8B">
        <w:rPr>
          <w:rFonts w:ascii="Verdana" w:hAnsi="Verdana"/>
          <w:sz w:val="20"/>
          <w:szCs w:val="20"/>
        </w:rPr>
        <w:t>Processor</w:t>
      </w:r>
      <w:proofErr w:type="spellEnd"/>
      <w:r w:rsidRPr="00C84D8B">
        <w:rPr>
          <w:rFonts w:ascii="Verdana" w:hAnsi="Verdana"/>
          <w:sz w:val="20"/>
          <w:szCs w:val="20"/>
        </w:rPr>
        <w:t xml:space="preserve"> muss danach bei jeder Datenschutzverletzung den Controller informieren. Danach  müsste er u.a. auch dann den Controller informieren, wenn z.B. ein Post-Zusteller ein Schreiben in den falschen Briefkasten wirft und der sich redlich verhaltende Fehlempfänger das Schreiben zurückgibt. Eine Meldung ist in diesen Fällen unnötige Bürokratie und führt zudem zur Überflutung des Controllers mit Informationen. </w:t>
      </w:r>
    </w:p>
    <w:p w:rsidR="00BA4C71" w:rsidRPr="00C84D8B" w:rsidRDefault="00BA4C71" w:rsidP="008A6643">
      <w:pPr>
        <w:pStyle w:val="StandardWeb"/>
        <w:spacing w:before="0" w:beforeAutospacing="0" w:after="0" w:afterAutospacing="0"/>
        <w:rPr>
          <w:rFonts w:ascii="Verdana" w:hAnsi="Verdana"/>
          <w:b/>
          <w:sz w:val="20"/>
          <w:szCs w:val="20"/>
        </w:rPr>
      </w:pPr>
    </w:p>
    <w:p w:rsidR="008A6643" w:rsidRPr="00C84D8B" w:rsidRDefault="00BA4C71" w:rsidP="008A6643">
      <w:pPr>
        <w:pStyle w:val="StandardWeb"/>
        <w:spacing w:before="0" w:beforeAutospacing="0" w:after="0" w:afterAutospacing="0"/>
        <w:rPr>
          <w:rFonts w:ascii="Verdana" w:hAnsi="Verdana"/>
          <w:sz w:val="20"/>
          <w:szCs w:val="20"/>
        </w:rPr>
      </w:pPr>
      <w:r w:rsidRPr="00C84D8B">
        <w:rPr>
          <w:rFonts w:ascii="Verdana" w:hAnsi="Verdana"/>
          <w:b/>
          <w:sz w:val="20"/>
          <w:szCs w:val="20"/>
        </w:rPr>
        <w:t>E</w:t>
      </w:r>
      <w:r w:rsidR="008A6643" w:rsidRPr="00C84D8B">
        <w:rPr>
          <w:rFonts w:ascii="Verdana" w:hAnsi="Verdana"/>
          <w:b/>
          <w:sz w:val="20"/>
          <w:szCs w:val="20"/>
        </w:rPr>
        <w:t>mpfehlung</w:t>
      </w:r>
      <w:r w:rsidR="008A6643" w:rsidRPr="00C84D8B">
        <w:rPr>
          <w:rFonts w:ascii="Verdana" w:hAnsi="Verdana"/>
          <w:sz w:val="20"/>
          <w:szCs w:val="20"/>
        </w:rPr>
        <w:t>:</w:t>
      </w:r>
    </w:p>
    <w:p w:rsidR="002256BB" w:rsidRPr="00C84D8B" w:rsidRDefault="002256BB" w:rsidP="002256BB">
      <w:pPr>
        <w:pStyle w:val="StandardWeb"/>
        <w:spacing w:before="0" w:beforeAutospacing="0" w:after="0" w:afterAutospacing="0"/>
        <w:rPr>
          <w:rFonts w:ascii="Verdana" w:hAnsi="Verdana"/>
          <w:sz w:val="20"/>
          <w:szCs w:val="20"/>
        </w:rPr>
      </w:pPr>
      <w:r w:rsidRPr="00C84D8B">
        <w:rPr>
          <w:rFonts w:ascii="Verdana" w:hAnsi="Verdana"/>
          <w:sz w:val="20"/>
          <w:szCs w:val="20"/>
        </w:rPr>
        <w:t xml:space="preserve">Deshalb sollte in Art. 31 II hinsichtlich des Risikos ein Verweis auf Art. 31 I vorgesehen werden. </w:t>
      </w:r>
    </w:p>
    <w:p w:rsidR="002256BB" w:rsidRPr="00C84D8B" w:rsidRDefault="002256BB" w:rsidP="002256BB">
      <w:pPr>
        <w:pStyle w:val="StandardWeb"/>
        <w:spacing w:before="0" w:beforeAutospacing="0" w:after="0" w:afterAutospacing="0"/>
        <w:rPr>
          <w:rFonts w:ascii="Verdana" w:hAnsi="Verdana"/>
          <w:sz w:val="20"/>
          <w:szCs w:val="20"/>
        </w:rPr>
      </w:pPr>
    </w:p>
    <w:p w:rsidR="002256BB" w:rsidRPr="00C84D8B" w:rsidRDefault="002256BB" w:rsidP="002256BB">
      <w:pPr>
        <w:pStyle w:val="StandardWeb"/>
        <w:spacing w:before="0" w:beforeAutospacing="0" w:after="0" w:afterAutospacing="0"/>
        <w:rPr>
          <w:rFonts w:ascii="Verdana" w:hAnsi="Verdana"/>
          <w:sz w:val="20"/>
          <w:szCs w:val="20"/>
        </w:rPr>
      </w:pPr>
    </w:p>
    <w:p w:rsidR="008A6643" w:rsidRPr="00E908F8" w:rsidRDefault="008A6643" w:rsidP="002256BB">
      <w:pPr>
        <w:pStyle w:val="StandardWeb"/>
        <w:spacing w:before="0" w:beforeAutospacing="0" w:after="0" w:afterAutospacing="0"/>
        <w:rPr>
          <w:rFonts w:ascii="Verdana" w:hAnsi="Verdana"/>
          <w:b/>
          <w:bCs/>
          <w:sz w:val="22"/>
          <w:szCs w:val="22"/>
        </w:rPr>
      </w:pPr>
      <w:r w:rsidRPr="00E908F8">
        <w:rPr>
          <w:rFonts w:ascii="Verdana" w:hAnsi="Verdana"/>
          <w:b/>
          <w:bCs/>
          <w:sz w:val="22"/>
          <w:szCs w:val="22"/>
        </w:rPr>
        <w:t>Art</w:t>
      </w:r>
      <w:r w:rsidR="008D30F4" w:rsidRPr="00E908F8">
        <w:rPr>
          <w:rFonts w:ascii="Verdana" w:hAnsi="Verdana"/>
          <w:b/>
          <w:bCs/>
          <w:sz w:val="22"/>
          <w:szCs w:val="22"/>
        </w:rPr>
        <w:t>.</w:t>
      </w:r>
      <w:r w:rsidRPr="00E908F8">
        <w:rPr>
          <w:rFonts w:ascii="Verdana" w:hAnsi="Verdana"/>
          <w:b/>
          <w:bCs/>
          <w:sz w:val="22"/>
          <w:szCs w:val="22"/>
        </w:rPr>
        <w:t xml:space="preserve"> 33 / </w:t>
      </w:r>
      <w:proofErr w:type="spellStart"/>
      <w:r w:rsidRPr="00E908F8">
        <w:rPr>
          <w:rFonts w:ascii="Verdana" w:hAnsi="Verdana"/>
          <w:b/>
          <w:bCs/>
          <w:sz w:val="22"/>
          <w:szCs w:val="22"/>
        </w:rPr>
        <w:t>data</w:t>
      </w:r>
      <w:proofErr w:type="spellEnd"/>
      <w:r w:rsidRPr="00E908F8">
        <w:rPr>
          <w:rFonts w:ascii="Verdana" w:hAnsi="Verdana"/>
          <w:b/>
          <w:bCs/>
          <w:sz w:val="22"/>
          <w:szCs w:val="22"/>
        </w:rPr>
        <w:t xml:space="preserve"> </w:t>
      </w:r>
      <w:proofErr w:type="spellStart"/>
      <w:r w:rsidRPr="00E908F8">
        <w:rPr>
          <w:rFonts w:ascii="Verdana" w:hAnsi="Verdana"/>
          <w:b/>
          <w:bCs/>
          <w:sz w:val="22"/>
          <w:szCs w:val="22"/>
        </w:rPr>
        <w:t>protection</w:t>
      </w:r>
      <w:proofErr w:type="spellEnd"/>
      <w:r w:rsidRPr="00E908F8">
        <w:rPr>
          <w:rFonts w:ascii="Verdana" w:hAnsi="Verdana"/>
          <w:b/>
          <w:bCs/>
          <w:sz w:val="22"/>
          <w:szCs w:val="22"/>
        </w:rPr>
        <w:t xml:space="preserve"> </w:t>
      </w:r>
      <w:proofErr w:type="spellStart"/>
      <w:r w:rsidRPr="00E908F8">
        <w:rPr>
          <w:rFonts w:ascii="Verdana" w:hAnsi="Verdana"/>
          <w:b/>
          <w:bCs/>
          <w:sz w:val="22"/>
          <w:szCs w:val="22"/>
        </w:rPr>
        <w:t>impact</w:t>
      </w:r>
      <w:proofErr w:type="spellEnd"/>
      <w:r w:rsidRPr="00E908F8">
        <w:rPr>
          <w:rFonts w:ascii="Verdana" w:hAnsi="Verdana"/>
          <w:b/>
          <w:bCs/>
          <w:sz w:val="22"/>
          <w:szCs w:val="22"/>
        </w:rPr>
        <w:t xml:space="preserve"> </w:t>
      </w:r>
      <w:proofErr w:type="spellStart"/>
      <w:r w:rsidRPr="00E908F8">
        <w:rPr>
          <w:rFonts w:ascii="Verdana" w:hAnsi="Verdana"/>
          <w:b/>
          <w:bCs/>
          <w:sz w:val="22"/>
          <w:szCs w:val="22"/>
        </w:rPr>
        <w:t>as</w:t>
      </w:r>
      <w:r w:rsidR="006E4762" w:rsidRPr="00E908F8">
        <w:rPr>
          <w:rFonts w:ascii="Verdana" w:hAnsi="Verdana"/>
          <w:b/>
          <w:bCs/>
          <w:sz w:val="22"/>
          <w:szCs w:val="22"/>
        </w:rPr>
        <w:t>s</w:t>
      </w:r>
      <w:r w:rsidRPr="00E908F8">
        <w:rPr>
          <w:rFonts w:ascii="Verdana" w:hAnsi="Verdana"/>
          <w:b/>
          <w:bCs/>
          <w:sz w:val="22"/>
          <w:szCs w:val="22"/>
        </w:rPr>
        <w:t>essment</w:t>
      </w:r>
      <w:proofErr w:type="spellEnd"/>
      <w:r w:rsidR="008D30F4" w:rsidRPr="00E908F8">
        <w:rPr>
          <w:rFonts w:ascii="Verdana" w:hAnsi="Verdana"/>
          <w:b/>
          <w:bCs/>
          <w:sz w:val="22"/>
          <w:szCs w:val="22"/>
        </w:rPr>
        <w:t xml:space="preserve"> </w:t>
      </w:r>
      <w:r w:rsidR="001448FE">
        <w:rPr>
          <w:rFonts w:ascii="Verdana" w:hAnsi="Verdana"/>
          <w:b/>
          <w:bCs/>
          <w:sz w:val="22"/>
          <w:szCs w:val="22"/>
        </w:rPr>
        <w:t xml:space="preserve">(PIA) </w:t>
      </w:r>
      <w:r w:rsidR="008D30F4" w:rsidRPr="00E908F8">
        <w:rPr>
          <w:rFonts w:ascii="Verdana" w:hAnsi="Verdana"/>
          <w:b/>
          <w:bCs/>
          <w:sz w:val="22"/>
          <w:szCs w:val="22"/>
        </w:rPr>
        <w:t>/ Voraussetzungen</w:t>
      </w:r>
    </w:p>
    <w:p w:rsidR="008A6643" w:rsidRPr="005F03A0" w:rsidRDefault="008A6643" w:rsidP="002256BB">
      <w:pPr>
        <w:pStyle w:val="StandardWeb"/>
        <w:spacing w:before="0" w:beforeAutospacing="0" w:after="0" w:afterAutospacing="0"/>
        <w:rPr>
          <w:rFonts w:ascii="Verdana" w:hAnsi="Verdana"/>
          <w:b/>
          <w:bCs/>
          <w:sz w:val="20"/>
          <w:szCs w:val="20"/>
        </w:rPr>
      </w:pPr>
    </w:p>
    <w:p w:rsidR="006E4762" w:rsidRPr="00C84D8B" w:rsidRDefault="001448FE" w:rsidP="002256BB">
      <w:pPr>
        <w:pStyle w:val="StandardWeb"/>
        <w:spacing w:before="0" w:beforeAutospacing="0" w:after="0" w:afterAutospacing="0"/>
        <w:rPr>
          <w:rFonts w:ascii="Verdana" w:hAnsi="Verdana"/>
          <w:sz w:val="20"/>
          <w:szCs w:val="20"/>
        </w:rPr>
      </w:pPr>
      <w:r>
        <w:rPr>
          <w:rFonts w:ascii="Verdana" w:hAnsi="Verdana"/>
          <w:sz w:val="20"/>
          <w:szCs w:val="20"/>
        </w:rPr>
        <w:t xml:space="preserve">Es besteht ein </w:t>
      </w:r>
      <w:r w:rsidR="006E4762" w:rsidRPr="00C84D8B">
        <w:rPr>
          <w:rFonts w:ascii="Verdana" w:hAnsi="Verdana"/>
          <w:sz w:val="20"/>
          <w:szCs w:val="20"/>
        </w:rPr>
        <w:t xml:space="preserve">Widerspruch zwischen Erwägungsgrund 71 (bei Berufsgeheimnissen </w:t>
      </w:r>
      <w:r>
        <w:rPr>
          <w:rFonts w:ascii="Verdana" w:hAnsi="Verdana"/>
          <w:sz w:val="20"/>
          <w:szCs w:val="20"/>
        </w:rPr>
        <w:t xml:space="preserve">ist </w:t>
      </w:r>
      <w:r w:rsidR="006E4762" w:rsidRPr="00C84D8B">
        <w:rPr>
          <w:rFonts w:ascii="Verdana" w:hAnsi="Verdana"/>
          <w:sz w:val="20"/>
          <w:szCs w:val="20"/>
        </w:rPr>
        <w:t>eine Folgenabschätzung nicht zwingend) während in Art. 33 Abs. 1 das Berufsgeheimnis als Beispiel für eine PIA aufgeführt wird.</w:t>
      </w:r>
      <w:r w:rsidR="008D30F4" w:rsidRPr="00C84D8B">
        <w:rPr>
          <w:rFonts w:ascii="Verdana" w:hAnsi="Verdana"/>
          <w:sz w:val="20"/>
          <w:szCs w:val="20"/>
        </w:rPr>
        <w:t xml:space="preserve"> Berufsgeheimnisse werde</w:t>
      </w:r>
      <w:r>
        <w:rPr>
          <w:rFonts w:ascii="Verdana" w:hAnsi="Verdana"/>
          <w:sz w:val="20"/>
          <w:szCs w:val="20"/>
        </w:rPr>
        <w:t>n</w:t>
      </w:r>
      <w:r w:rsidR="008D30F4" w:rsidRPr="00C84D8B">
        <w:rPr>
          <w:rFonts w:ascii="Verdana" w:hAnsi="Verdana"/>
          <w:sz w:val="20"/>
          <w:szCs w:val="20"/>
        </w:rPr>
        <w:t xml:space="preserve"> </w:t>
      </w:r>
      <w:proofErr w:type="spellStart"/>
      <w:r w:rsidR="008D30F4" w:rsidRPr="00C84D8B">
        <w:rPr>
          <w:rFonts w:ascii="Verdana" w:hAnsi="Verdana"/>
          <w:sz w:val="20"/>
          <w:szCs w:val="20"/>
        </w:rPr>
        <w:t>idR</w:t>
      </w:r>
      <w:proofErr w:type="spellEnd"/>
      <w:r w:rsidR="008D30F4" w:rsidRPr="00C84D8B">
        <w:rPr>
          <w:rFonts w:ascii="Verdana" w:hAnsi="Verdana"/>
          <w:sz w:val="20"/>
          <w:szCs w:val="20"/>
        </w:rPr>
        <w:t xml:space="preserve"> über die berufsrechtlichen Regelungen geschützt. Offen ist hier auch, wie z.B. in diesem Zusammenhang mit branchenüblichen Verschwiegenheitsvorgaben umzugehen ist, wie dem Bankgeheimnis.</w:t>
      </w:r>
    </w:p>
    <w:p w:rsidR="00E908F8" w:rsidRDefault="00E908F8" w:rsidP="006E4762">
      <w:pPr>
        <w:pStyle w:val="StandardWeb"/>
        <w:spacing w:before="0" w:beforeAutospacing="0" w:after="0" w:afterAutospacing="0"/>
        <w:rPr>
          <w:rFonts w:ascii="Verdana" w:hAnsi="Verdana"/>
          <w:b/>
          <w:sz w:val="20"/>
          <w:szCs w:val="20"/>
        </w:rPr>
      </w:pPr>
    </w:p>
    <w:p w:rsidR="006E4762" w:rsidRPr="00C84D8B" w:rsidRDefault="006E4762" w:rsidP="006E4762">
      <w:pPr>
        <w:pStyle w:val="StandardWeb"/>
        <w:spacing w:before="0" w:beforeAutospacing="0" w:after="0" w:afterAutospacing="0"/>
        <w:rPr>
          <w:rFonts w:ascii="Verdana" w:hAnsi="Verdana"/>
          <w:sz w:val="20"/>
          <w:szCs w:val="20"/>
        </w:rPr>
      </w:pPr>
      <w:r w:rsidRPr="00C84D8B">
        <w:rPr>
          <w:rFonts w:ascii="Verdana" w:hAnsi="Verdana"/>
          <w:b/>
          <w:sz w:val="20"/>
          <w:szCs w:val="20"/>
        </w:rPr>
        <w:t>Empfehlung</w:t>
      </w:r>
      <w:r w:rsidRPr="00C84D8B">
        <w:rPr>
          <w:rFonts w:ascii="Verdana" w:hAnsi="Verdana"/>
          <w:sz w:val="20"/>
          <w:szCs w:val="20"/>
        </w:rPr>
        <w:t>:</w:t>
      </w:r>
    </w:p>
    <w:p w:rsidR="006E4762" w:rsidRPr="00C84D8B" w:rsidRDefault="008D30F4" w:rsidP="006E4762">
      <w:pPr>
        <w:pStyle w:val="StandardWeb"/>
        <w:spacing w:before="0" w:beforeAutospacing="0" w:after="0" w:afterAutospacing="0"/>
        <w:rPr>
          <w:rFonts w:ascii="Verdana" w:hAnsi="Verdana"/>
          <w:sz w:val="20"/>
          <w:szCs w:val="20"/>
        </w:rPr>
      </w:pPr>
      <w:r w:rsidRPr="00C84D8B">
        <w:rPr>
          <w:rFonts w:ascii="Verdana" w:hAnsi="Verdana"/>
          <w:sz w:val="20"/>
          <w:szCs w:val="20"/>
        </w:rPr>
        <w:t xml:space="preserve">Streichung des Berufsgeheimnisses als Voraussetzung für eine PIA in Art. 31 Abs. 1. </w:t>
      </w:r>
    </w:p>
    <w:p w:rsidR="006E4762" w:rsidRPr="00C84D8B" w:rsidRDefault="006E4762" w:rsidP="002256BB">
      <w:pPr>
        <w:pStyle w:val="StandardWeb"/>
        <w:spacing w:before="0" w:beforeAutospacing="0" w:after="0" w:afterAutospacing="0"/>
        <w:rPr>
          <w:rFonts w:ascii="Verdana" w:hAnsi="Verdana"/>
          <w:sz w:val="20"/>
          <w:szCs w:val="20"/>
        </w:rPr>
      </w:pPr>
    </w:p>
    <w:p w:rsidR="008D30F4" w:rsidRPr="00C84D8B" w:rsidRDefault="008D30F4" w:rsidP="008D30F4">
      <w:pPr>
        <w:pStyle w:val="StandardWeb"/>
        <w:spacing w:before="0" w:beforeAutospacing="0" w:after="0" w:afterAutospacing="0"/>
        <w:rPr>
          <w:rFonts w:ascii="Verdana" w:hAnsi="Verdana"/>
          <w:b/>
          <w:bCs/>
          <w:sz w:val="20"/>
          <w:szCs w:val="20"/>
        </w:rPr>
      </w:pPr>
    </w:p>
    <w:p w:rsidR="008D30F4" w:rsidRPr="00E908F8" w:rsidRDefault="008D30F4" w:rsidP="008D30F4">
      <w:pPr>
        <w:pStyle w:val="StandardWeb"/>
        <w:spacing w:before="0" w:beforeAutospacing="0" w:after="0" w:afterAutospacing="0"/>
        <w:rPr>
          <w:rFonts w:ascii="Verdana" w:hAnsi="Verdana"/>
          <w:b/>
          <w:bCs/>
          <w:sz w:val="22"/>
          <w:szCs w:val="22"/>
        </w:rPr>
      </w:pPr>
      <w:r w:rsidRPr="00E908F8">
        <w:rPr>
          <w:rFonts w:ascii="Verdana" w:hAnsi="Verdana"/>
          <w:b/>
          <w:bCs/>
          <w:sz w:val="22"/>
          <w:szCs w:val="22"/>
        </w:rPr>
        <w:t xml:space="preserve">Art. 33 / </w:t>
      </w:r>
      <w:proofErr w:type="spellStart"/>
      <w:r w:rsidRPr="00E908F8">
        <w:rPr>
          <w:rFonts w:ascii="Verdana" w:hAnsi="Verdana"/>
          <w:b/>
          <w:bCs/>
          <w:sz w:val="22"/>
          <w:szCs w:val="22"/>
        </w:rPr>
        <w:t>data</w:t>
      </w:r>
      <w:proofErr w:type="spellEnd"/>
      <w:r w:rsidRPr="00E908F8">
        <w:rPr>
          <w:rFonts w:ascii="Verdana" w:hAnsi="Verdana"/>
          <w:b/>
          <w:bCs/>
          <w:sz w:val="22"/>
          <w:szCs w:val="22"/>
        </w:rPr>
        <w:t xml:space="preserve"> </w:t>
      </w:r>
      <w:proofErr w:type="spellStart"/>
      <w:r w:rsidRPr="00E908F8">
        <w:rPr>
          <w:rFonts w:ascii="Verdana" w:hAnsi="Verdana"/>
          <w:b/>
          <w:bCs/>
          <w:sz w:val="22"/>
          <w:szCs w:val="22"/>
        </w:rPr>
        <w:t>protection</w:t>
      </w:r>
      <w:proofErr w:type="spellEnd"/>
      <w:r w:rsidRPr="00E908F8">
        <w:rPr>
          <w:rFonts w:ascii="Verdana" w:hAnsi="Verdana"/>
          <w:b/>
          <w:bCs/>
          <w:sz w:val="22"/>
          <w:szCs w:val="22"/>
        </w:rPr>
        <w:t xml:space="preserve"> </w:t>
      </w:r>
      <w:proofErr w:type="spellStart"/>
      <w:r w:rsidRPr="00E908F8">
        <w:rPr>
          <w:rFonts w:ascii="Verdana" w:hAnsi="Verdana"/>
          <w:b/>
          <w:bCs/>
          <w:sz w:val="22"/>
          <w:szCs w:val="22"/>
        </w:rPr>
        <w:t>impact</w:t>
      </w:r>
      <w:proofErr w:type="spellEnd"/>
      <w:r w:rsidRPr="00E908F8">
        <w:rPr>
          <w:rFonts w:ascii="Verdana" w:hAnsi="Verdana"/>
          <w:b/>
          <w:bCs/>
          <w:sz w:val="22"/>
          <w:szCs w:val="22"/>
        </w:rPr>
        <w:t xml:space="preserve"> </w:t>
      </w:r>
      <w:proofErr w:type="spellStart"/>
      <w:r w:rsidRPr="00E908F8">
        <w:rPr>
          <w:rFonts w:ascii="Verdana" w:hAnsi="Verdana"/>
          <w:b/>
          <w:bCs/>
          <w:sz w:val="22"/>
          <w:szCs w:val="22"/>
        </w:rPr>
        <w:t>assessment</w:t>
      </w:r>
      <w:proofErr w:type="spellEnd"/>
      <w:r w:rsidRPr="00E908F8">
        <w:rPr>
          <w:rFonts w:ascii="Verdana" w:hAnsi="Verdana"/>
          <w:b/>
          <w:bCs/>
          <w:sz w:val="22"/>
          <w:szCs w:val="22"/>
        </w:rPr>
        <w:t xml:space="preserve"> </w:t>
      </w:r>
      <w:r w:rsidR="001448FE">
        <w:rPr>
          <w:rFonts w:ascii="Verdana" w:hAnsi="Verdana"/>
          <w:b/>
          <w:bCs/>
          <w:sz w:val="22"/>
          <w:szCs w:val="22"/>
        </w:rPr>
        <w:t>(PIA)</w:t>
      </w:r>
      <w:r w:rsidRPr="00E908F8">
        <w:rPr>
          <w:rFonts w:ascii="Verdana" w:hAnsi="Verdana"/>
          <w:b/>
          <w:bCs/>
          <w:sz w:val="22"/>
          <w:szCs w:val="22"/>
        </w:rPr>
        <w:t>/ Erleichterungen</w:t>
      </w:r>
    </w:p>
    <w:p w:rsidR="006E4762" w:rsidRPr="00C84D8B" w:rsidRDefault="006E4762" w:rsidP="002256BB">
      <w:pPr>
        <w:pStyle w:val="StandardWeb"/>
        <w:spacing w:before="0" w:beforeAutospacing="0" w:after="0" w:afterAutospacing="0"/>
        <w:rPr>
          <w:rFonts w:ascii="Verdana" w:hAnsi="Verdana"/>
          <w:sz w:val="20"/>
          <w:szCs w:val="20"/>
        </w:rPr>
      </w:pPr>
    </w:p>
    <w:p w:rsidR="008D30F4" w:rsidRPr="00C84D8B" w:rsidRDefault="008D30F4" w:rsidP="002256BB">
      <w:pPr>
        <w:pStyle w:val="StandardWeb"/>
        <w:spacing w:before="0" w:beforeAutospacing="0" w:after="0" w:afterAutospacing="0"/>
        <w:rPr>
          <w:rFonts w:ascii="Verdana" w:hAnsi="Verdana"/>
          <w:sz w:val="20"/>
          <w:szCs w:val="20"/>
        </w:rPr>
      </w:pPr>
      <w:r w:rsidRPr="00C84D8B">
        <w:rPr>
          <w:rFonts w:ascii="Verdana" w:hAnsi="Verdana"/>
          <w:sz w:val="20"/>
          <w:szCs w:val="20"/>
        </w:rPr>
        <w:t xml:space="preserve">Die PIA hat sich bislang in Form der Vorabkontrolle bewährt: </w:t>
      </w:r>
      <w:r w:rsidR="001448FE">
        <w:rPr>
          <w:rFonts w:ascii="Verdana" w:hAnsi="Verdana"/>
          <w:sz w:val="20"/>
          <w:szCs w:val="20"/>
        </w:rPr>
        <w:t>B</w:t>
      </w:r>
      <w:r w:rsidRPr="00C84D8B">
        <w:rPr>
          <w:rFonts w:ascii="Verdana" w:hAnsi="Verdana"/>
          <w:sz w:val="20"/>
          <w:szCs w:val="20"/>
        </w:rPr>
        <w:t>estimmte Verarbeitungen mit einem gewissen Risikograd unterlagen einer vorherigen Betrachtung nach Risikogesichtspunkten (vgl. § 4d Abs. 5 BDSG).</w:t>
      </w:r>
    </w:p>
    <w:p w:rsidR="008D30F4" w:rsidRPr="00C84D8B" w:rsidRDefault="008D30F4" w:rsidP="002256BB">
      <w:pPr>
        <w:pStyle w:val="StandardWeb"/>
        <w:spacing w:before="0" w:beforeAutospacing="0" w:after="0" w:afterAutospacing="0"/>
        <w:rPr>
          <w:rFonts w:ascii="Verdana" w:hAnsi="Verdana"/>
          <w:sz w:val="20"/>
          <w:szCs w:val="20"/>
        </w:rPr>
      </w:pPr>
      <w:r w:rsidRPr="00C84D8B">
        <w:rPr>
          <w:rFonts w:ascii="Verdana" w:hAnsi="Verdana"/>
          <w:sz w:val="20"/>
          <w:szCs w:val="20"/>
        </w:rPr>
        <w:t xml:space="preserve">Es fehlt in den </w:t>
      </w:r>
      <w:r w:rsidR="001448FE">
        <w:rPr>
          <w:rFonts w:ascii="Verdana" w:hAnsi="Verdana"/>
          <w:sz w:val="20"/>
          <w:szCs w:val="20"/>
        </w:rPr>
        <w:t xml:space="preserve">Ratsdokumenten </w:t>
      </w:r>
      <w:r w:rsidRPr="00C84D8B">
        <w:rPr>
          <w:rFonts w:ascii="Verdana" w:hAnsi="Verdana"/>
          <w:sz w:val="20"/>
          <w:szCs w:val="20"/>
        </w:rPr>
        <w:t xml:space="preserve">die Möglichkeit der Erleichterung durch die Bestellung eines DPOs. Auch wenn der </w:t>
      </w:r>
      <w:r w:rsidR="001448FE">
        <w:rPr>
          <w:rFonts w:ascii="Verdana" w:hAnsi="Verdana"/>
          <w:sz w:val="20"/>
          <w:szCs w:val="20"/>
        </w:rPr>
        <w:t>R</w:t>
      </w:r>
      <w:r w:rsidRPr="00C84D8B">
        <w:rPr>
          <w:rFonts w:ascii="Verdana" w:hAnsi="Verdana"/>
          <w:sz w:val="20"/>
          <w:szCs w:val="20"/>
        </w:rPr>
        <w:t xml:space="preserve">at nicht davon ausgeht, dass die Einbeziehung und Meldung an Aufsichtsbehörden vorgesehen sein wird, ist doch eine höhere Akzeptanz </w:t>
      </w:r>
      <w:r w:rsidR="006E4762" w:rsidRPr="00C84D8B">
        <w:rPr>
          <w:rFonts w:ascii="Verdana" w:hAnsi="Verdana"/>
          <w:sz w:val="20"/>
          <w:szCs w:val="20"/>
        </w:rPr>
        <w:t xml:space="preserve"> </w:t>
      </w:r>
      <w:r w:rsidRPr="00C84D8B">
        <w:rPr>
          <w:rFonts w:ascii="Verdana" w:hAnsi="Verdana"/>
          <w:sz w:val="20"/>
          <w:szCs w:val="20"/>
        </w:rPr>
        <w:t xml:space="preserve">und ein gesteigertes </w:t>
      </w:r>
      <w:r w:rsidR="001448FE">
        <w:rPr>
          <w:rFonts w:ascii="Verdana" w:hAnsi="Verdana"/>
          <w:sz w:val="20"/>
          <w:szCs w:val="20"/>
        </w:rPr>
        <w:t>V</w:t>
      </w:r>
      <w:r w:rsidRPr="00C84D8B">
        <w:rPr>
          <w:rFonts w:ascii="Verdana" w:hAnsi="Verdana"/>
          <w:sz w:val="20"/>
          <w:szCs w:val="20"/>
        </w:rPr>
        <w:t>ertrauen durch Kunden, Beschäftigte und Bürger in die Datenverarbeitung zu erwarten, wenn Folgeabschätzung</w:t>
      </w:r>
      <w:r w:rsidR="001448FE">
        <w:rPr>
          <w:rFonts w:ascii="Verdana" w:hAnsi="Verdana"/>
          <w:sz w:val="20"/>
          <w:szCs w:val="20"/>
        </w:rPr>
        <w:t>en</w:t>
      </w:r>
      <w:r w:rsidRPr="00C84D8B">
        <w:rPr>
          <w:rFonts w:ascii="Verdana" w:hAnsi="Verdana"/>
          <w:sz w:val="20"/>
          <w:szCs w:val="20"/>
        </w:rPr>
        <w:t xml:space="preserve"> durch eine fachkundige, weisungsunabhängige Person durchgeführt werden.</w:t>
      </w:r>
    </w:p>
    <w:p w:rsidR="00E908F8" w:rsidRDefault="00E908F8" w:rsidP="008D30F4">
      <w:pPr>
        <w:pStyle w:val="StandardWeb"/>
        <w:spacing w:before="0" w:beforeAutospacing="0" w:after="0" w:afterAutospacing="0"/>
        <w:rPr>
          <w:rFonts w:ascii="Verdana" w:hAnsi="Verdana"/>
          <w:b/>
          <w:sz w:val="20"/>
          <w:szCs w:val="20"/>
        </w:rPr>
      </w:pPr>
    </w:p>
    <w:p w:rsidR="008D30F4" w:rsidRPr="00C84D8B" w:rsidRDefault="008D30F4" w:rsidP="008D30F4">
      <w:pPr>
        <w:pStyle w:val="StandardWeb"/>
        <w:spacing w:before="0" w:beforeAutospacing="0" w:after="0" w:afterAutospacing="0"/>
        <w:rPr>
          <w:rFonts w:ascii="Verdana" w:hAnsi="Verdana"/>
          <w:sz w:val="20"/>
          <w:szCs w:val="20"/>
        </w:rPr>
      </w:pPr>
      <w:r w:rsidRPr="00C84D8B">
        <w:rPr>
          <w:rFonts w:ascii="Verdana" w:hAnsi="Verdana"/>
          <w:b/>
          <w:sz w:val="20"/>
          <w:szCs w:val="20"/>
        </w:rPr>
        <w:t>Empfehlung</w:t>
      </w:r>
      <w:r w:rsidRPr="00C84D8B">
        <w:rPr>
          <w:rFonts w:ascii="Verdana" w:hAnsi="Verdana"/>
          <w:sz w:val="20"/>
          <w:szCs w:val="20"/>
        </w:rPr>
        <w:t>:</w:t>
      </w:r>
    </w:p>
    <w:p w:rsidR="005D3288" w:rsidRPr="00C84D8B" w:rsidRDefault="005D3288" w:rsidP="005D3288">
      <w:pPr>
        <w:textAlignment w:val="center"/>
        <w:rPr>
          <w:sz w:val="24"/>
          <w:szCs w:val="24"/>
        </w:rPr>
      </w:pPr>
      <w:r w:rsidRPr="00C84D8B">
        <w:rPr>
          <w:rFonts w:ascii="Verdana" w:hAnsi="Verdana"/>
          <w:color w:val="000000"/>
          <w:sz w:val="20"/>
          <w:szCs w:val="20"/>
        </w:rPr>
        <w:t>Die – auch freiwillige – Einrichtung eines Datenschutzbeauftragten sollte zur Bürokratieentlastung des Unternehmens beitragen. Dies kann erreicht werden, wenn der unabhängige Datenschutzbeauftragte die Folgenabschätzung selbst vornimmt und damit ein denkbarer Abstimmungsaufwand mit der Aufsichtsbehörde entfällt. Die Abstimmung in komplexen Zweifelsfällen durch den Datenschutzbeauftragten mit der Aufsichtsbehörde bleibt davon unbenommen.</w:t>
      </w:r>
    </w:p>
    <w:p w:rsidR="005D3288" w:rsidRPr="00C84D8B" w:rsidRDefault="005D3288" w:rsidP="005D3288">
      <w:pPr>
        <w:pStyle w:val="StandardWeb"/>
        <w:spacing w:before="0" w:beforeAutospacing="0" w:after="0" w:afterAutospacing="0"/>
        <w:ind w:left="285"/>
        <w:rPr>
          <w:rFonts w:ascii="Verdana" w:hAnsi="Verdana"/>
          <w:sz w:val="20"/>
          <w:szCs w:val="20"/>
        </w:rPr>
      </w:pPr>
      <w:r w:rsidRPr="00C84D8B">
        <w:rPr>
          <w:rFonts w:ascii="Verdana" w:hAnsi="Verdana"/>
          <w:sz w:val="20"/>
          <w:szCs w:val="20"/>
        </w:rPr>
        <w:t> </w:t>
      </w:r>
    </w:p>
    <w:p w:rsidR="008A6643" w:rsidRPr="00C84D8B" w:rsidRDefault="008A6643" w:rsidP="002256BB">
      <w:pPr>
        <w:pStyle w:val="StandardWeb"/>
        <w:spacing w:before="0" w:beforeAutospacing="0" w:after="0" w:afterAutospacing="0"/>
        <w:rPr>
          <w:rFonts w:ascii="Verdana" w:hAnsi="Verdana"/>
          <w:b/>
          <w:sz w:val="20"/>
          <w:szCs w:val="20"/>
        </w:rPr>
      </w:pPr>
      <w:r w:rsidRPr="00E908F8">
        <w:rPr>
          <w:rFonts w:ascii="Verdana" w:hAnsi="Verdana"/>
          <w:b/>
          <w:bCs/>
          <w:sz w:val="22"/>
          <w:szCs w:val="22"/>
        </w:rPr>
        <w:t xml:space="preserve">Art. 34 / </w:t>
      </w:r>
      <w:proofErr w:type="spellStart"/>
      <w:r w:rsidRPr="00E908F8">
        <w:rPr>
          <w:rFonts w:ascii="Verdana" w:hAnsi="Verdana"/>
          <w:b/>
          <w:bCs/>
          <w:sz w:val="22"/>
          <w:szCs w:val="22"/>
        </w:rPr>
        <w:t>prior</w:t>
      </w:r>
      <w:proofErr w:type="spellEnd"/>
      <w:r w:rsidRPr="00E908F8">
        <w:rPr>
          <w:rFonts w:ascii="Verdana" w:hAnsi="Verdana"/>
          <w:b/>
          <w:bCs/>
          <w:sz w:val="22"/>
          <w:szCs w:val="22"/>
        </w:rPr>
        <w:t xml:space="preserve"> </w:t>
      </w:r>
      <w:proofErr w:type="spellStart"/>
      <w:r w:rsidRPr="00E908F8">
        <w:rPr>
          <w:rFonts w:ascii="Verdana" w:hAnsi="Verdana"/>
          <w:b/>
          <w:bCs/>
          <w:sz w:val="22"/>
          <w:szCs w:val="22"/>
        </w:rPr>
        <w:t>consultation</w:t>
      </w:r>
      <w:proofErr w:type="spellEnd"/>
    </w:p>
    <w:p w:rsidR="008A6643" w:rsidRPr="00C84D8B" w:rsidRDefault="008A6643" w:rsidP="002256BB">
      <w:pPr>
        <w:pStyle w:val="StandardWeb"/>
        <w:spacing w:before="0" w:beforeAutospacing="0" w:after="0" w:afterAutospacing="0"/>
        <w:rPr>
          <w:rFonts w:ascii="Verdana" w:hAnsi="Verdana"/>
          <w:sz w:val="20"/>
          <w:szCs w:val="20"/>
          <w:highlight w:val="yellow"/>
        </w:rPr>
      </w:pPr>
    </w:p>
    <w:p w:rsidR="005D3288" w:rsidRPr="00C84D8B" w:rsidRDefault="005D3288" w:rsidP="005D3288">
      <w:pPr>
        <w:textAlignment w:val="center"/>
        <w:rPr>
          <w:rFonts w:ascii="Verdana" w:hAnsi="Verdana"/>
          <w:iCs/>
          <w:color w:val="000000"/>
          <w:sz w:val="20"/>
          <w:szCs w:val="20"/>
        </w:rPr>
      </w:pPr>
      <w:r w:rsidRPr="00C84D8B">
        <w:rPr>
          <w:rFonts w:ascii="Verdana" w:hAnsi="Verdana"/>
          <w:color w:val="000000"/>
          <w:sz w:val="20"/>
          <w:szCs w:val="20"/>
        </w:rPr>
        <w:t>Die vorherige Konsultation der Aufsichtsbehörde in bestimmten Fällen kann sich zu e</w:t>
      </w:r>
      <w:r w:rsidR="001246AE" w:rsidRPr="00C84D8B">
        <w:rPr>
          <w:rFonts w:ascii="Verdana" w:hAnsi="Verdana"/>
          <w:color w:val="000000"/>
          <w:sz w:val="20"/>
          <w:szCs w:val="20"/>
        </w:rPr>
        <w:t>i</w:t>
      </w:r>
      <w:r w:rsidRPr="00C84D8B">
        <w:rPr>
          <w:rFonts w:ascii="Verdana" w:hAnsi="Verdana"/>
          <w:color w:val="000000"/>
          <w:sz w:val="20"/>
          <w:szCs w:val="20"/>
        </w:rPr>
        <w:t>ner verstärkten Bürokratisierung entwickeln, wenn bestimmte Datenverarbeitungsvorgänge mit Aufsichtsbehörden abgestimmt werden müssen. Hier hat sich auch die Regelung zur Selbstregulierung aus dem BDSG bewährt, welch</w:t>
      </w:r>
      <w:r w:rsidR="001448FE">
        <w:rPr>
          <w:rFonts w:ascii="Verdana" w:hAnsi="Verdana"/>
          <w:color w:val="000000"/>
          <w:sz w:val="20"/>
          <w:szCs w:val="20"/>
        </w:rPr>
        <w:t>e</w:t>
      </w:r>
      <w:r w:rsidRPr="00C84D8B">
        <w:rPr>
          <w:rFonts w:ascii="Verdana" w:hAnsi="Verdana"/>
          <w:color w:val="000000"/>
          <w:sz w:val="20"/>
          <w:szCs w:val="20"/>
        </w:rPr>
        <w:t xml:space="preserve"> beispielsweise die Meldepflicht gegenüber der Aufsichtsbehörde oder Vora</w:t>
      </w:r>
      <w:r w:rsidR="001448FE">
        <w:rPr>
          <w:rFonts w:ascii="Verdana" w:hAnsi="Verdana"/>
          <w:color w:val="000000"/>
          <w:sz w:val="20"/>
          <w:szCs w:val="20"/>
        </w:rPr>
        <w:t>b</w:t>
      </w:r>
      <w:r w:rsidRPr="00C84D8B">
        <w:rPr>
          <w:rFonts w:ascii="Verdana" w:hAnsi="Verdana"/>
          <w:color w:val="000000"/>
          <w:sz w:val="20"/>
          <w:szCs w:val="20"/>
        </w:rPr>
        <w:t>kontrolle bei der Bestellung eines DSB entfallen ließ.</w:t>
      </w:r>
    </w:p>
    <w:p w:rsidR="00E908F8" w:rsidRDefault="00E908F8" w:rsidP="005D3288">
      <w:pPr>
        <w:pStyle w:val="StandardWeb"/>
        <w:spacing w:before="0" w:beforeAutospacing="0" w:after="0" w:afterAutospacing="0"/>
        <w:rPr>
          <w:rFonts w:ascii="Verdana" w:hAnsi="Verdana"/>
          <w:b/>
          <w:sz w:val="20"/>
          <w:szCs w:val="20"/>
        </w:rPr>
      </w:pPr>
    </w:p>
    <w:p w:rsidR="005D3288" w:rsidRPr="00C84D8B" w:rsidRDefault="005D3288" w:rsidP="005D3288">
      <w:pPr>
        <w:pStyle w:val="StandardWeb"/>
        <w:spacing w:before="0" w:beforeAutospacing="0" w:after="0" w:afterAutospacing="0"/>
        <w:rPr>
          <w:rFonts w:ascii="Verdana" w:hAnsi="Verdana"/>
          <w:sz w:val="20"/>
          <w:szCs w:val="20"/>
        </w:rPr>
      </w:pPr>
      <w:r w:rsidRPr="00C84D8B">
        <w:rPr>
          <w:rFonts w:ascii="Verdana" w:hAnsi="Verdana"/>
          <w:b/>
          <w:sz w:val="20"/>
          <w:szCs w:val="20"/>
        </w:rPr>
        <w:t>Empfehlung</w:t>
      </w:r>
      <w:r w:rsidRPr="00C84D8B">
        <w:rPr>
          <w:rFonts w:ascii="Verdana" w:hAnsi="Verdana"/>
          <w:sz w:val="20"/>
          <w:szCs w:val="20"/>
        </w:rPr>
        <w:t>:</w:t>
      </w:r>
    </w:p>
    <w:p w:rsidR="005D3288" w:rsidRPr="00C84D8B" w:rsidRDefault="005D3288" w:rsidP="005D3288">
      <w:pPr>
        <w:pStyle w:val="StandardWeb"/>
        <w:spacing w:before="0" w:beforeAutospacing="0" w:after="0" w:afterAutospacing="0"/>
        <w:rPr>
          <w:rFonts w:ascii="Verdana" w:hAnsi="Verdana"/>
          <w:color w:val="000000"/>
          <w:sz w:val="20"/>
          <w:szCs w:val="20"/>
        </w:rPr>
      </w:pPr>
      <w:r w:rsidRPr="00C84D8B">
        <w:rPr>
          <w:rFonts w:ascii="Verdana" w:hAnsi="Verdana"/>
          <w:iCs/>
          <w:color w:val="000000"/>
          <w:sz w:val="20"/>
          <w:szCs w:val="20"/>
        </w:rPr>
        <w:t xml:space="preserve">Aufnahme eines Artikel 34 Absatz 6 a (neu): </w:t>
      </w:r>
    </w:p>
    <w:p w:rsidR="005D3288" w:rsidRPr="00C84D8B" w:rsidRDefault="005D3288" w:rsidP="005D3288">
      <w:pPr>
        <w:pStyle w:val="StandardWeb"/>
        <w:spacing w:before="0" w:beforeAutospacing="0" w:after="0" w:afterAutospacing="0"/>
        <w:rPr>
          <w:rFonts w:ascii="Verdana" w:hAnsi="Verdana"/>
          <w:sz w:val="20"/>
          <w:szCs w:val="20"/>
        </w:rPr>
      </w:pPr>
      <w:r w:rsidRPr="00C84D8B">
        <w:rPr>
          <w:rFonts w:ascii="Verdana" w:hAnsi="Verdana"/>
          <w:color w:val="000000"/>
          <w:sz w:val="20"/>
          <w:szCs w:val="20"/>
        </w:rPr>
        <w:t>„</w:t>
      </w:r>
      <w:r w:rsidRPr="00C84D8B">
        <w:rPr>
          <w:rFonts w:ascii="Verdana" w:hAnsi="Verdana"/>
          <w:bCs/>
          <w:iCs/>
          <w:color w:val="000000"/>
          <w:sz w:val="20"/>
          <w:szCs w:val="20"/>
        </w:rPr>
        <w:t xml:space="preserve">Die in Absätzen 1 – 6 genannten Pflichten entfallen, sofern der </w:t>
      </w:r>
      <w:r w:rsidR="00913F20">
        <w:rPr>
          <w:rFonts w:ascii="Verdana" w:hAnsi="Verdana"/>
          <w:bCs/>
          <w:iCs/>
          <w:color w:val="000000"/>
          <w:sz w:val="20"/>
          <w:szCs w:val="20"/>
        </w:rPr>
        <w:t xml:space="preserve">Controller oder der </w:t>
      </w:r>
      <w:proofErr w:type="spellStart"/>
      <w:r w:rsidR="00913F20">
        <w:rPr>
          <w:rFonts w:ascii="Verdana" w:hAnsi="Verdana"/>
          <w:bCs/>
          <w:iCs/>
          <w:color w:val="000000"/>
          <w:sz w:val="20"/>
          <w:szCs w:val="20"/>
        </w:rPr>
        <w:t>Processor</w:t>
      </w:r>
      <w:proofErr w:type="spellEnd"/>
      <w:r w:rsidRPr="00C84D8B">
        <w:rPr>
          <w:rFonts w:ascii="Verdana" w:hAnsi="Verdana"/>
          <w:bCs/>
          <w:iCs/>
          <w:color w:val="000000"/>
          <w:sz w:val="20"/>
          <w:szCs w:val="20"/>
        </w:rPr>
        <w:t xml:space="preserve"> einen unabhängigen Datenschutzbeauftragten eingesetzt hat und dieser die Datenschutz-Folgenabschätzung nach Artikel 33 durchgeführt hat.“</w:t>
      </w:r>
    </w:p>
    <w:p w:rsidR="002256BB" w:rsidRPr="00C84D8B" w:rsidRDefault="002256BB" w:rsidP="002256BB">
      <w:pPr>
        <w:pStyle w:val="StandardWeb"/>
        <w:spacing w:before="0" w:beforeAutospacing="0" w:after="0" w:afterAutospacing="0"/>
        <w:rPr>
          <w:rFonts w:ascii="Verdana" w:hAnsi="Verdana"/>
          <w:sz w:val="20"/>
          <w:szCs w:val="20"/>
        </w:rPr>
      </w:pPr>
    </w:p>
    <w:p w:rsidR="00E7774D" w:rsidRPr="00E908F8" w:rsidRDefault="001246AE" w:rsidP="002256BB">
      <w:pPr>
        <w:pStyle w:val="StandardWeb"/>
        <w:spacing w:before="0" w:beforeAutospacing="0" w:after="0" w:afterAutospacing="0"/>
        <w:rPr>
          <w:rFonts w:ascii="Verdana" w:hAnsi="Verdana"/>
          <w:b/>
          <w:bCs/>
          <w:sz w:val="22"/>
          <w:szCs w:val="22"/>
        </w:rPr>
      </w:pPr>
      <w:r w:rsidRPr="00E908F8">
        <w:rPr>
          <w:rFonts w:ascii="Verdana" w:hAnsi="Verdana"/>
          <w:b/>
          <w:bCs/>
          <w:sz w:val="22"/>
          <w:szCs w:val="22"/>
        </w:rPr>
        <w:t>Art. 35 / Datenschutzbeauftragter</w:t>
      </w:r>
      <w:r w:rsidR="00C84D8B" w:rsidRPr="00E908F8">
        <w:rPr>
          <w:rFonts w:ascii="Verdana" w:hAnsi="Verdana"/>
          <w:b/>
          <w:bCs/>
          <w:sz w:val="22"/>
          <w:szCs w:val="22"/>
        </w:rPr>
        <w:t xml:space="preserve"> (DSB)</w:t>
      </w:r>
    </w:p>
    <w:p w:rsidR="00C84D8B" w:rsidRPr="00C84D8B" w:rsidRDefault="00C84D8B" w:rsidP="002256BB">
      <w:pPr>
        <w:pStyle w:val="StandardWeb"/>
        <w:spacing w:before="0" w:beforeAutospacing="0" w:after="0" w:afterAutospacing="0"/>
        <w:rPr>
          <w:rFonts w:ascii="Verdana" w:hAnsi="Verdana"/>
          <w:b/>
          <w:bCs/>
          <w:sz w:val="20"/>
          <w:szCs w:val="20"/>
        </w:rPr>
      </w:pPr>
    </w:p>
    <w:p w:rsidR="001246AE" w:rsidRPr="00C84D8B" w:rsidRDefault="001246AE" w:rsidP="002256BB">
      <w:pPr>
        <w:pStyle w:val="StandardWeb"/>
        <w:spacing w:before="0" w:beforeAutospacing="0" w:after="0" w:afterAutospacing="0"/>
        <w:rPr>
          <w:rFonts w:ascii="Verdana" w:hAnsi="Verdana"/>
          <w:bCs/>
          <w:sz w:val="20"/>
          <w:szCs w:val="20"/>
        </w:rPr>
      </w:pPr>
      <w:r w:rsidRPr="00C84D8B">
        <w:rPr>
          <w:rFonts w:ascii="Verdana" w:hAnsi="Verdana"/>
          <w:bCs/>
          <w:sz w:val="20"/>
          <w:szCs w:val="20"/>
        </w:rPr>
        <w:t xml:space="preserve">Der Wegfall der Bestellpflicht auf EU-Ebene ist ein Rückschritt hinsichtlich der qualitativen Beratungskompetenz innerhalb der Unternehmen und behördlichen Einrichtungen. Ein Großteil des Vertrauens der Bürger, Kunden und </w:t>
      </w:r>
      <w:r w:rsidR="001426EB">
        <w:rPr>
          <w:rFonts w:ascii="Verdana" w:hAnsi="Verdana"/>
          <w:bCs/>
          <w:sz w:val="20"/>
          <w:szCs w:val="20"/>
        </w:rPr>
        <w:t>B</w:t>
      </w:r>
      <w:r w:rsidR="001426EB" w:rsidRPr="00C84D8B">
        <w:rPr>
          <w:rFonts w:ascii="Verdana" w:hAnsi="Verdana"/>
          <w:bCs/>
          <w:sz w:val="20"/>
          <w:szCs w:val="20"/>
        </w:rPr>
        <w:t xml:space="preserve">eschäftigten </w:t>
      </w:r>
      <w:r w:rsidRPr="00C84D8B">
        <w:rPr>
          <w:rFonts w:ascii="Verdana" w:hAnsi="Verdana"/>
          <w:bCs/>
          <w:sz w:val="20"/>
          <w:szCs w:val="20"/>
        </w:rPr>
        <w:t xml:space="preserve">beruht </w:t>
      </w:r>
      <w:r w:rsidR="0074000D">
        <w:rPr>
          <w:rFonts w:ascii="Verdana" w:hAnsi="Verdana"/>
          <w:bCs/>
          <w:sz w:val="20"/>
          <w:szCs w:val="20"/>
        </w:rPr>
        <w:t xml:space="preserve">auf </w:t>
      </w:r>
      <w:r w:rsidRPr="00C84D8B">
        <w:rPr>
          <w:rFonts w:ascii="Verdana" w:hAnsi="Verdana"/>
          <w:bCs/>
          <w:sz w:val="20"/>
          <w:szCs w:val="20"/>
        </w:rPr>
        <w:t xml:space="preserve">der Existenz und Pflicht zur Einbeziehung dieser Einrichtung. Es ist zu befürchten, dass durch den faktischen Wegfall das Vertrauen in die Datenverarbeitung leidet und mittelbar dadurch digitale Märkte nicht genutzt werden können. </w:t>
      </w:r>
      <w:r w:rsidR="00C84D8B" w:rsidRPr="00C84D8B">
        <w:rPr>
          <w:rFonts w:ascii="Verdana" w:hAnsi="Verdana"/>
          <w:bCs/>
          <w:sz w:val="20"/>
          <w:szCs w:val="20"/>
        </w:rPr>
        <w:t xml:space="preserve">Die Aufgaben des DSB hinsichtlich der Sensibilisierung der Mitarbeiter des </w:t>
      </w:r>
      <w:r w:rsidR="001426EB">
        <w:rPr>
          <w:rFonts w:ascii="Verdana" w:hAnsi="Verdana"/>
          <w:bCs/>
          <w:sz w:val="20"/>
          <w:szCs w:val="20"/>
        </w:rPr>
        <w:t xml:space="preserve">Controllers und des </w:t>
      </w:r>
      <w:proofErr w:type="spellStart"/>
      <w:r w:rsidR="001426EB">
        <w:rPr>
          <w:rFonts w:ascii="Verdana" w:hAnsi="Verdana"/>
          <w:bCs/>
          <w:sz w:val="20"/>
          <w:szCs w:val="20"/>
        </w:rPr>
        <w:t>Processors</w:t>
      </w:r>
      <w:proofErr w:type="spellEnd"/>
      <w:r w:rsidR="001426EB">
        <w:rPr>
          <w:rFonts w:ascii="Verdana" w:hAnsi="Verdana"/>
          <w:bCs/>
          <w:sz w:val="20"/>
          <w:szCs w:val="20"/>
        </w:rPr>
        <w:t xml:space="preserve"> </w:t>
      </w:r>
      <w:r w:rsidR="00C84D8B" w:rsidRPr="00C84D8B">
        <w:rPr>
          <w:rFonts w:ascii="Verdana" w:hAnsi="Verdana"/>
          <w:bCs/>
          <w:sz w:val="20"/>
          <w:szCs w:val="20"/>
        </w:rPr>
        <w:t xml:space="preserve">(Art. 37 Abs. 1 </w:t>
      </w:r>
      <w:proofErr w:type="spellStart"/>
      <w:r w:rsidR="00C84D8B" w:rsidRPr="00C84D8B">
        <w:rPr>
          <w:rFonts w:ascii="Verdana" w:hAnsi="Verdana"/>
          <w:bCs/>
          <w:sz w:val="20"/>
          <w:szCs w:val="20"/>
        </w:rPr>
        <w:t>lit</w:t>
      </w:r>
      <w:proofErr w:type="spellEnd"/>
      <w:r w:rsidR="00C84D8B" w:rsidRPr="00C84D8B">
        <w:rPr>
          <w:rFonts w:ascii="Verdana" w:hAnsi="Verdana"/>
          <w:bCs/>
          <w:sz w:val="20"/>
          <w:szCs w:val="20"/>
        </w:rPr>
        <w:t xml:space="preserve">. a)  bleiben ohne ihn offensichtlich ungeregelt. </w:t>
      </w:r>
    </w:p>
    <w:p w:rsidR="00E908F8" w:rsidRDefault="00E908F8" w:rsidP="001246AE">
      <w:pPr>
        <w:pStyle w:val="StandardWeb"/>
        <w:spacing w:before="0" w:beforeAutospacing="0" w:after="0" w:afterAutospacing="0"/>
        <w:rPr>
          <w:rFonts w:ascii="Verdana" w:hAnsi="Verdana"/>
          <w:b/>
          <w:sz w:val="20"/>
          <w:szCs w:val="20"/>
        </w:rPr>
      </w:pPr>
    </w:p>
    <w:p w:rsidR="001246AE" w:rsidRPr="00C84D8B" w:rsidRDefault="001246AE" w:rsidP="001246AE">
      <w:pPr>
        <w:pStyle w:val="StandardWeb"/>
        <w:spacing w:before="0" w:beforeAutospacing="0" w:after="0" w:afterAutospacing="0"/>
        <w:rPr>
          <w:rFonts w:ascii="Verdana" w:hAnsi="Verdana"/>
          <w:sz w:val="20"/>
          <w:szCs w:val="20"/>
        </w:rPr>
      </w:pPr>
      <w:r w:rsidRPr="00C84D8B">
        <w:rPr>
          <w:rFonts w:ascii="Verdana" w:hAnsi="Verdana"/>
          <w:b/>
          <w:sz w:val="20"/>
          <w:szCs w:val="20"/>
        </w:rPr>
        <w:t>Empfehlung</w:t>
      </w:r>
      <w:r w:rsidRPr="00C84D8B">
        <w:rPr>
          <w:rFonts w:ascii="Verdana" w:hAnsi="Verdana"/>
          <w:sz w:val="20"/>
          <w:szCs w:val="20"/>
        </w:rPr>
        <w:t>:</w:t>
      </w:r>
    </w:p>
    <w:p w:rsidR="001246AE" w:rsidRPr="00C84D8B" w:rsidRDefault="001246AE" w:rsidP="001246AE">
      <w:pPr>
        <w:pStyle w:val="StandardWeb"/>
        <w:spacing w:before="0" w:beforeAutospacing="0" w:after="0" w:afterAutospacing="0"/>
        <w:rPr>
          <w:rFonts w:ascii="Verdana" w:hAnsi="Verdana"/>
          <w:color w:val="000000"/>
          <w:sz w:val="20"/>
          <w:szCs w:val="20"/>
        </w:rPr>
      </w:pPr>
      <w:r w:rsidRPr="00C84D8B">
        <w:rPr>
          <w:rFonts w:ascii="Verdana" w:hAnsi="Verdana"/>
          <w:iCs/>
          <w:color w:val="000000"/>
          <w:sz w:val="20"/>
          <w:szCs w:val="20"/>
        </w:rPr>
        <w:t>Die Bestellpflicht zu einem DSB auf Europaebene regeln.</w:t>
      </w:r>
    </w:p>
    <w:p w:rsidR="001246AE" w:rsidRPr="00C84D8B" w:rsidRDefault="001246AE" w:rsidP="002256BB">
      <w:pPr>
        <w:pStyle w:val="StandardWeb"/>
        <w:spacing w:before="0" w:beforeAutospacing="0" w:after="0" w:afterAutospacing="0"/>
        <w:rPr>
          <w:rFonts w:ascii="Verdana" w:hAnsi="Verdana"/>
          <w:bCs/>
          <w:sz w:val="20"/>
          <w:szCs w:val="20"/>
        </w:rPr>
      </w:pPr>
    </w:p>
    <w:p w:rsidR="0074000D" w:rsidRPr="00C84D8B" w:rsidRDefault="0074000D" w:rsidP="002256BB">
      <w:pPr>
        <w:pStyle w:val="StandardWeb"/>
        <w:spacing w:before="0" w:beforeAutospacing="0" w:after="0" w:afterAutospacing="0"/>
        <w:rPr>
          <w:rFonts w:ascii="Verdana" w:hAnsi="Verdana"/>
          <w:bCs/>
          <w:sz w:val="20"/>
          <w:szCs w:val="20"/>
          <w:highlight w:val="yellow"/>
        </w:rPr>
      </w:pPr>
    </w:p>
    <w:p w:rsidR="00DA143D" w:rsidRDefault="00DA143D" w:rsidP="002256BB">
      <w:pPr>
        <w:pStyle w:val="StandardWeb"/>
        <w:spacing w:before="0" w:beforeAutospacing="0" w:after="0" w:afterAutospacing="0"/>
        <w:rPr>
          <w:rFonts w:ascii="Verdana" w:hAnsi="Verdana"/>
          <w:b/>
          <w:bCs/>
          <w:sz w:val="22"/>
          <w:szCs w:val="22"/>
        </w:rPr>
      </w:pPr>
    </w:p>
    <w:p w:rsidR="00DA143D" w:rsidRDefault="00DA143D" w:rsidP="002256BB">
      <w:pPr>
        <w:pStyle w:val="StandardWeb"/>
        <w:spacing w:before="0" w:beforeAutospacing="0" w:after="0" w:afterAutospacing="0"/>
        <w:rPr>
          <w:rFonts w:ascii="Verdana" w:hAnsi="Verdana"/>
          <w:b/>
          <w:bCs/>
          <w:sz w:val="22"/>
          <w:szCs w:val="22"/>
        </w:rPr>
      </w:pPr>
    </w:p>
    <w:p w:rsidR="00DA143D" w:rsidRDefault="00DA143D" w:rsidP="002256BB">
      <w:pPr>
        <w:pStyle w:val="StandardWeb"/>
        <w:spacing w:before="0" w:beforeAutospacing="0" w:after="0" w:afterAutospacing="0"/>
        <w:rPr>
          <w:rFonts w:ascii="Verdana" w:hAnsi="Verdana"/>
          <w:b/>
          <w:bCs/>
          <w:sz w:val="22"/>
          <w:szCs w:val="22"/>
        </w:rPr>
      </w:pPr>
    </w:p>
    <w:p w:rsidR="002256BB" w:rsidRPr="00E908F8" w:rsidRDefault="00E7774D" w:rsidP="002256BB">
      <w:pPr>
        <w:pStyle w:val="StandardWeb"/>
        <w:spacing w:before="0" w:beforeAutospacing="0" w:after="0" w:afterAutospacing="0"/>
        <w:rPr>
          <w:rFonts w:ascii="Verdana" w:hAnsi="Verdana"/>
          <w:b/>
          <w:bCs/>
          <w:sz w:val="22"/>
          <w:szCs w:val="22"/>
        </w:rPr>
      </w:pPr>
      <w:bookmarkStart w:id="0" w:name="_GoBack"/>
      <w:bookmarkEnd w:id="0"/>
      <w:r w:rsidRPr="00E908F8">
        <w:rPr>
          <w:rFonts w:ascii="Verdana" w:hAnsi="Verdana"/>
          <w:b/>
          <w:bCs/>
          <w:sz w:val="22"/>
          <w:szCs w:val="22"/>
        </w:rPr>
        <w:lastRenderedPageBreak/>
        <w:t xml:space="preserve">Art 77 </w:t>
      </w:r>
      <w:r w:rsidR="006D21C8" w:rsidRPr="00E908F8">
        <w:rPr>
          <w:rFonts w:ascii="Verdana" w:hAnsi="Verdana"/>
          <w:b/>
          <w:bCs/>
          <w:sz w:val="22"/>
          <w:szCs w:val="22"/>
        </w:rPr>
        <w:t xml:space="preserve"> / </w:t>
      </w:r>
      <w:r w:rsidRPr="00E908F8">
        <w:rPr>
          <w:rFonts w:ascii="Verdana" w:hAnsi="Verdana"/>
          <w:b/>
          <w:bCs/>
          <w:sz w:val="22"/>
          <w:szCs w:val="22"/>
        </w:rPr>
        <w:t>Haftung</w:t>
      </w:r>
    </w:p>
    <w:p w:rsidR="001246AE" w:rsidRPr="00C84D8B" w:rsidRDefault="001246AE" w:rsidP="002256BB">
      <w:pPr>
        <w:pStyle w:val="StandardWeb"/>
        <w:spacing w:before="0" w:beforeAutospacing="0" w:after="0" w:afterAutospacing="0"/>
        <w:rPr>
          <w:rFonts w:ascii="Verdana" w:hAnsi="Verdana"/>
          <w:sz w:val="20"/>
          <w:szCs w:val="20"/>
        </w:rPr>
      </w:pPr>
    </w:p>
    <w:p w:rsidR="006D21C8" w:rsidRPr="00C84D8B" w:rsidRDefault="006D21C8" w:rsidP="002256BB">
      <w:pPr>
        <w:pStyle w:val="StandardWeb"/>
        <w:spacing w:before="0" w:beforeAutospacing="0" w:after="0" w:afterAutospacing="0"/>
        <w:rPr>
          <w:rFonts w:ascii="Verdana" w:hAnsi="Verdana"/>
          <w:sz w:val="20"/>
          <w:szCs w:val="20"/>
        </w:rPr>
      </w:pPr>
      <w:r w:rsidRPr="00C84D8B">
        <w:rPr>
          <w:rFonts w:ascii="Verdana" w:hAnsi="Verdana"/>
          <w:sz w:val="20"/>
          <w:szCs w:val="20"/>
        </w:rPr>
        <w:t xml:space="preserve">Die Regelung in Art. 77 Abs. 1 regelt eine gesamtschuldnerische Haftung des </w:t>
      </w:r>
      <w:r w:rsidR="001426EB">
        <w:rPr>
          <w:rFonts w:ascii="Verdana" w:hAnsi="Verdana"/>
          <w:sz w:val="20"/>
          <w:szCs w:val="20"/>
        </w:rPr>
        <w:t xml:space="preserve">Controllers mit dem </w:t>
      </w:r>
      <w:proofErr w:type="spellStart"/>
      <w:r w:rsidR="001426EB">
        <w:rPr>
          <w:rFonts w:ascii="Verdana" w:hAnsi="Verdana"/>
          <w:sz w:val="20"/>
          <w:szCs w:val="20"/>
        </w:rPr>
        <w:t>Processor</w:t>
      </w:r>
      <w:proofErr w:type="spellEnd"/>
      <w:r w:rsidRPr="00C84D8B">
        <w:rPr>
          <w:rFonts w:ascii="Verdana" w:hAnsi="Verdana"/>
          <w:sz w:val="20"/>
          <w:szCs w:val="20"/>
        </w:rPr>
        <w:t xml:space="preserve"> gegenüber dem Geschädigten. Dies ist nicht interessensgerecht und seitens des </w:t>
      </w:r>
      <w:proofErr w:type="spellStart"/>
      <w:r w:rsidR="001426EB">
        <w:rPr>
          <w:rFonts w:ascii="Verdana" w:hAnsi="Verdana"/>
          <w:sz w:val="20"/>
          <w:szCs w:val="20"/>
        </w:rPr>
        <w:t>Processors</w:t>
      </w:r>
      <w:proofErr w:type="spellEnd"/>
      <w:r w:rsidR="001426EB" w:rsidRPr="00C84D8B">
        <w:rPr>
          <w:rFonts w:ascii="Verdana" w:hAnsi="Verdana"/>
          <w:sz w:val="20"/>
          <w:szCs w:val="20"/>
        </w:rPr>
        <w:t xml:space="preserve"> </w:t>
      </w:r>
      <w:r w:rsidRPr="00C84D8B">
        <w:rPr>
          <w:rFonts w:ascii="Verdana" w:hAnsi="Verdana"/>
          <w:sz w:val="20"/>
          <w:szCs w:val="20"/>
        </w:rPr>
        <w:t xml:space="preserve">nicht kalkulierbar. Dieser hat keine Möglichkeit beispielsweise die Einhaltung der Zulässigkeitsvoraussetzungen durch den </w:t>
      </w:r>
      <w:r w:rsidR="001426EB">
        <w:rPr>
          <w:rFonts w:ascii="Verdana" w:hAnsi="Verdana"/>
          <w:sz w:val="20"/>
          <w:szCs w:val="20"/>
        </w:rPr>
        <w:t xml:space="preserve">Controller </w:t>
      </w:r>
      <w:r w:rsidRPr="00C84D8B">
        <w:rPr>
          <w:rFonts w:ascii="Verdana" w:hAnsi="Verdana"/>
          <w:sz w:val="20"/>
          <w:szCs w:val="20"/>
        </w:rPr>
        <w:t>zu prüfen.</w:t>
      </w:r>
    </w:p>
    <w:p w:rsidR="006D21C8" w:rsidRDefault="006D21C8" w:rsidP="002256BB">
      <w:pPr>
        <w:pStyle w:val="StandardWeb"/>
        <w:spacing w:before="0" w:beforeAutospacing="0" w:after="0" w:afterAutospacing="0"/>
        <w:rPr>
          <w:rFonts w:ascii="Verdana" w:hAnsi="Verdana"/>
          <w:sz w:val="20"/>
          <w:szCs w:val="20"/>
        </w:rPr>
      </w:pPr>
      <w:r w:rsidRPr="00C84D8B">
        <w:rPr>
          <w:rFonts w:ascii="Verdana" w:hAnsi="Verdana"/>
          <w:sz w:val="20"/>
          <w:szCs w:val="20"/>
        </w:rPr>
        <w:t xml:space="preserve">Eine Haftung des </w:t>
      </w:r>
      <w:r w:rsidR="001426EB">
        <w:rPr>
          <w:rFonts w:ascii="Verdana" w:hAnsi="Verdana"/>
          <w:sz w:val="20"/>
          <w:szCs w:val="20"/>
        </w:rPr>
        <w:t xml:space="preserve">Controller </w:t>
      </w:r>
      <w:r w:rsidRPr="00C84D8B">
        <w:rPr>
          <w:rFonts w:ascii="Verdana" w:hAnsi="Verdana"/>
          <w:sz w:val="20"/>
          <w:szCs w:val="20"/>
        </w:rPr>
        <w:t xml:space="preserve">reicht aus, dieser kann im Innenverhältnis nach den allgemeinen Verschuldenstatbeständen den </w:t>
      </w:r>
      <w:proofErr w:type="spellStart"/>
      <w:r w:rsidR="001426EB">
        <w:rPr>
          <w:rFonts w:ascii="Verdana" w:hAnsi="Verdana"/>
          <w:sz w:val="20"/>
          <w:szCs w:val="20"/>
        </w:rPr>
        <w:t>Processor</w:t>
      </w:r>
      <w:proofErr w:type="spellEnd"/>
      <w:r w:rsidR="001426EB" w:rsidRPr="00C84D8B">
        <w:rPr>
          <w:rFonts w:ascii="Verdana" w:hAnsi="Verdana"/>
          <w:sz w:val="20"/>
          <w:szCs w:val="20"/>
        </w:rPr>
        <w:t xml:space="preserve"> </w:t>
      </w:r>
      <w:r w:rsidRPr="00C84D8B">
        <w:rPr>
          <w:rFonts w:ascii="Verdana" w:hAnsi="Verdana"/>
          <w:sz w:val="20"/>
          <w:szCs w:val="20"/>
        </w:rPr>
        <w:t>in Anspruch nehmen.</w:t>
      </w:r>
    </w:p>
    <w:p w:rsidR="00E908F8" w:rsidRPr="00C84D8B" w:rsidRDefault="00E908F8" w:rsidP="002256BB">
      <w:pPr>
        <w:pStyle w:val="StandardWeb"/>
        <w:spacing w:before="0" w:beforeAutospacing="0" w:after="0" w:afterAutospacing="0"/>
        <w:rPr>
          <w:rFonts w:ascii="Verdana" w:hAnsi="Verdana"/>
          <w:sz w:val="20"/>
          <w:szCs w:val="20"/>
        </w:rPr>
      </w:pPr>
    </w:p>
    <w:p w:rsidR="006D21C8" w:rsidRPr="00C84D8B" w:rsidRDefault="006D21C8" w:rsidP="006D21C8">
      <w:pPr>
        <w:pStyle w:val="StandardWeb"/>
        <w:spacing w:before="0" w:beforeAutospacing="0" w:after="0" w:afterAutospacing="0"/>
        <w:rPr>
          <w:rFonts w:ascii="Verdana" w:hAnsi="Verdana"/>
          <w:sz w:val="20"/>
          <w:szCs w:val="20"/>
        </w:rPr>
      </w:pPr>
      <w:r w:rsidRPr="00C84D8B">
        <w:rPr>
          <w:rFonts w:ascii="Verdana" w:hAnsi="Verdana"/>
          <w:b/>
          <w:sz w:val="20"/>
          <w:szCs w:val="20"/>
        </w:rPr>
        <w:t>Empfehlung</w:t>
      </w:r>
      <w:r w:rsidRPr="00C84D8B">
        <w:rPr>
          <w:rFonts w:ascii="Verdana" w:hAnsi="Verdana"/>
          <w:sz w:val="20"/>
          <w:szCs w:val="20"/>
        </w:rPr>
        <w:t>:</w:t>
      </w:r>
    </w:p>
    <w:p w:rsidR="006D21C8" w:rsidRPr="00C84D8B" w:rsidRDefault="006D21C8" w:rsidP="006D21C8">
      <w:pPr>
        <w:pStyle w:val="StandardWeb"/>
        <w:spacing w:before="0" w:beforeAutospacing="0" w:after="0" w:afterAutospacing="0"/>
        <w:rPr>
          <w:rFonts w:ascii="Verdana" w:hAnsi="Verdana"/>
          <w:iCs/>
          <w:color w:val="000000"/>
          <w:sz w:val="20"/>
          <w:szCs w:val="20"/>
        </w:rPr>
      </w:pPr>
      <w:r w:rsidRPr="00C84D8B">
        <w:rPr>
          <w:rFonts w:ascii="Verdana" w:hAnsi="Verdana"/>
          <w:iCs/>
          <w:color w:val="000000"/>
          <w:sz w:val="20"/>
          <w:szCs w:val="20"/>
        </w:rPr>
        <w:t xml:space="preserve">Streichung des </w:t>
      </w:r>
      <w:proofErr w:type="spellStart"/>
      <w:r w:rsidR="001426EB">
        <w:rPr>
          <w:rFonts w:ascii="Verdana" w:hAnsi="Verdana"/>
          <w:iCs/>
          <w:color w:val="000000"/>
          <w:sz w:val="20"/>
          <w:szCs w:val="20"/>
        </w:rPr>
        <w:t>Processors</w:t>
      </w:r>
      <w:proofErr w:type="spellEnd"/>
      <w:r w:rsidR="001426EB" w:rsidRPr="00C84D8B">
        <w:rPr>
          <w:rFonts w:ascii="Verdana" w:hAnsi="Verdana"/>
          <w:iCs/>
          <w:color w:val="000000"/>
          <w:sz w:val="20"/>
          <w:szCs w:val="20"/>
        </w:rPr>
        <w:t xml:space="preserve"> </w:t>
      </w:r>
      <w:r w:rsidRPr="00C84D8B">
        <w:rPr>
          <w:rFonts w:ascii="Verdana" w:hAnsi="Verdana"/>
          <w:iCs/>
          <w:color w:val="000000"/>
          <w:sz w:val="20"/>
          <w:szCs w:val="20"/>
        </w:rPr>
        <w:t>in Art. 77 Abs. 1</w:t>
      </w:r>
      <w:r w:rsidR="00E908F8">
        <w:rPr>
          <w:rFonts w:ascii="Verdana" w:hAnsi="Verdana"/>
          <w:iCs/>
          <w:color w:val="000000"/>
          <w:sz w:val="20"/>
          <w:szCs w:val="20"/>
        </w:rPr>
        <w:t>.</w:t>
      </w:r>
      <w:r w:rsidRPr="00C84D8B">
        <w:rPr>
          <w:rFonts w:ascii="Verdana" w:hAnsi="Verdana"/>
          <w:iCs/>
          <w:color w:val="000000"/>
          <w:sz w:val="20"/>
          <w:szCs w:val="20"/>
        </w:rPr>
        <w:t xml:space="preserve"> </w:t>
      </w:r>
    </w:p>
    <w:p w:rsidR="006D21C8" w:rsidRPr="00C84D8B" w:rsidRDefault="006D21C8" w:rsidP="006D21C8">
      <w:pPr>
        <w:pStyle w:val="StandardWeb"/>
        <w:spacing w:before="0" w:beforeAutospacing="0" w:after="0" w:afterAutospacing="0"/>
        <w:rPr>
          <w:rFonts w:ascii="Verdana" w:hAnsi="Verdana"/>
          <w:color w:val="000000"/>
          <w:sz w:val="20"/>
          <w:szCs w:val="20"/>
        </w:rPr>
      </w:pPr>
    </w:p>
    <w:p w:rsidR="00E7774D" w:rsidRPr="00C84D8B" w:rsidRDefault="00E7774D" w:rsidP="006D21C8">
      <w:pPr>
        <w:pStyle w:val="StandardWeb"/>
        <w:spacing w:before="0" w:beforeAutospacing="0" w:after="0" w:afterAutospacing="0"/>
        <w:rPr>
          <w:rFonts w:ascii="Verdana" w:hAnsi="Verdana"/>
          <w:sz w:val="20"/>
          <w:szCs w:val="20"/>
        </w:rPr>
      </w:pPr>
      <w:r w:rsidRPr="00C84D8B">
        <w:rPr>
          <w:rFonts w:ascii="Verdana" w:hAnsi="Verdana"/>
          <w:sz w:val="20"/>
          <w:szCs w:val="20"/>
        </w:rPr>
        <w:t xml:space="preserve"> </w:t>
      </w:r>
    </w:p>
    <w:p w:rsidR="00E7774D" w:rsidRPr="00C84D8B" w:rsidRDefault="00E7774D" w:rsidP="002256BB">
      <w:pPr>
        <w:pStyle w:val="StandardWeb"/>
        <w:spacing w:before="0" w:beforeAutospacing="0" w:after="0" w:afterAutospacing="0"/>
        <w:rPr>
          <w:rFonts w:ascii="Verdana" w:hAnsi="Verdana"/>
          <w:sz w:val="20"/>
          <w:szCs w:val="20"/>
        </w:rPr>
      </w:pPr>
    </w:p>
    <w:p w:rsidR="00F3243C" w:rsidRPr="00C84D8B" w:rsidRDefault="00F3243C"/>
    <w:p w:rsidR="00C84D8B" w:rsidRPr="00C84D8B" w:rsidRDefault="00C84D8B"/>
    <w:sectPr w:rsidR="00C84D8B" w:rsidRPr="00C84D8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80A" w:rsidRDefault="00AD480A" w:rsidP="006D21C8">
      <w:r>
        <w:separator/>
      </w:r>
    </w:p>
  </w:endnote>
  <w:endnote w:type="continuationSeparator" w:id="0">
    <w:p w:rsidR="00AD480A" w:rsidRDefault="00AD480A" w:rsidP="006D2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5D" w:rsidRDefault="00A01D5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1C8" w:rsidRPr="006D21C8" w:rsidRDefault="006D21C8" w:rsidP="006D21C8">
    <w:pPr>
      <w:pStyle w:val="Fuzeile"/>
      <w:jc w:val="right"/>
      <w:rPr>
        <w:sz w:val="16"/>
        <w:szCs w:val="16"/>
      </w:rPr>
    </w:pPr>
    <w:r w:rsidRPr="006D21C8">
      <w:rPr>
        <w:sz w:val="16"/>
        <w:szCs w:val="16"/>
      </w:rPr>
      <w:t xml:space="preserve">Seite </w:t>
    </w:r>
    <w:r w:rsidRPr="006D21C8">
      <w:rPr>
        <w:sz w:val="16"/>
        <w:szCs w:val="16"/>
      </w:rPr>
      <w:fldChar w:fldCharType="begin"/>
    </w:r>
    <w:r w:rsidRPr="006D21C8">
      <w:rPr>
        <w:sz w:val="16"/>
        <w:szCs w:val="16"/>
      </w:rPr>
      <w:instrText>PAGE  \* Arabic  \* MERGEFORMAT</w:instrText>
    </w:r>
    <w:r w:rsidRPr="006D21C8">
      <w:rPr>
        <w:sz w:val="16"/>
        <w:szCs w:val="16"/>
      </w:rPr>
      <w:fldChar w:fldCharType="separate"/>
    </w:r>
    <w:r w:rsidR="00DA143D">
      <w:rPr>
        <w:noProof/>
        <w:sz w:val="16"/>
        <w:szCs w:val="16"/>
      </w:rPr>
      <w:t>1</w:t>
    </w:r>
    <w:r w:rsidRPr="006D21C8">
      <w:rPr>
        <w:sz w:val="16"/>
        <w:szCs w:val="16"/>
      </w:rPr>
      <w:fldChar w:fldCharType="end"/>
    </w:r>
    <w:r w:rsidRPr="006D21C8">
      <w:rPr>
        <w:sz w:val="16"/>
        <w:szCs w:val="16"/>
      </w:rPr>
      <w:t xml:space="preserve"> von </w:t>
    </w:r>
    <w:r w:rsidRPr="006D21C8">
      <w:rPr>
        <w:sz w:val="16"/>
        <w:szCs w:val="16"/>
      </w:rPr>
      <w:fldChar w:fldCharType="begin"/>
    </w:r>
    <w:r w:rsidRPr="006D21C8">
      <w:rPr>
        <w:sz w:val="16"/>
        <w:szCs w:val="16"/>
      </w:rPr>
      <w:instrText>NUMPAGES  \* Arabic  \* MERGEFORMAT</w:instrText>
    </w:r>
    <w:r w:rsidRPr="006D21C8">
      <w:rPr>
        <w:sz w:val="16"/>
        <w:szCs w:val="16"/>
      </w:rPr>
      <w:fldChar w:fldCharType="separate"/>
    </w:r>
    <w:r w:rsidR="00DA143D">
      <w:rPr>
        <w:noProof/>
        <w:sz w:val="16"/>
        <w:szCs w:val="16"/>
      </w:rPr>
      <w:t>5</w:t>
    </w:r>
    <w:r w:rsidRPr="006D21C8">
      <w:rP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5D" w:rsidRDefault="00A01D5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80A" w:rsidRDefault="00AD480A" w:rsidP="006D21C8">
      <w:r>
        <w:separator/>
      </w:r>
    </w:p>
  </w:footnote>
  <w:footnote w:type="continuationSeparator" w:id="0">
    <w:p w:rsidR="00AD480A" w:rsidRDefault="00AD480A" w:rsidP="006D2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5D" w:rsidRDefault="00A01D5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5D" w:rsidRDefault="00A01D5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5D" w:rsidRDefault="00A01D5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76C46"/>
    <w:multiLevelType w:val="multilevel"/>
    <w:tmpl w:val="EFBEE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5AF1BDA"/>
    <w:multiLevelType w:val="hybridMultilevel"/>
    <w:tmpl w:val="411E9E06"/>
    <w:lvl w:ilvl="0" w:tplc="99AA7822">
      <w:numFmt w:val="bullet"/>
      <w:lvlText w:val=""/>
      <w:lvlJc w:val="left"/>
      <w:pPr>
        <w:ind w:left="720" w:hanging="360"/>
      </w:pPr>
      <w:rPr>
        <w:rFonts w:ascii="Wingdings" w:eastAsia="Times New Roman"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6BB"/>
    <w:rsid w:val="0000511B"/>
    <w:rsid w:val="00063AFE"/>
    <w:rsid w:val="001246AE"/>
    <w:rsid w:val="001426EB"/>
    <w:rsid w:val="001448FE"/>
    <w:rsid w:val="002256BB"/>
    <w:rsid w:val="00440E33"/>
    <w:rsid w:val="005813CF"/>
    <w:rsid w:val="0059561A"/>
    <w:rsid w:val="005D3288"/>
    <w:rsid w:val="005F03A0"/>
    <w:rsid w:val="006333D9"/>
    <w:rsid w:val="006D21C8"/>
    <w:rsid w:val="006E4762"/>
    <w:rsid w:val="0074000D"/>
    <w:rsid w:val="008A6643"/>
    <w:rsid w:val="008D30F4"/>
    <w:rsid w:val="00913F20"/>
    <w:rsid w:val="00A01D5D"/>
    <w:rsid w:val="00AD480A"/>
    <w:rsid w:val="00B80B22"/>
    <w:rsid w:val="00BA4C71"/>
    <w:rsid w:val="00C84D8B"/>
    <w:rsid w:val="00CC4D50"/>
    <w:rsid w:val="00DA143D"/>
    <w:rsid w:val="00E7774D"/>
    <w:rsid w:val="00E908F8"/>
    <w:rsid w:val="00EB7721"/>
    <w:rsid w:val="00F3243C"/>
    <w:rsid w:val="00F53C8D"/>
    <w:rsid w:val="00F7380E"/>
    <w:rsid w:val="00F941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56BB"/>
    <w:pPr>
      <w:spacing w:after="0"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256BB"/>
    <w:pPr>
      <w:spacing w:before="100" w:beforeAutospacing="1" w:after="100" w:afterAutospacing="1"/>
    </w:pPr>
    <w:rPr>
      <w:rFonts w:ascii="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F7380E"/>
    <w:rPr>
      <w:sz w:val="16"/>
      <w:szCs w:val="16"/>
    </w:rPr>
  </w:style>
  <w:style w:type="paragraph" w:styleId="Kommentartext">
    <w:name w:val="annotation text"/>
    <w:basedOn w:val="Standard"/>
    <w:link w:val="KommentartextZchn"/>
    <w:uiPriority w:val="99"/>
    <w:semiHidden/>
    <w:unhideWhenUsed/>
    <w:rsid w:val="00F7380E"/>
    <w:rPr>
      <w:sz w:val="20"/>
      <w:szCs w:val="20"/>
    </w:rPr>
  </w:style>
  <w:style w:type="character" w:customStyle="1" w:styleId="KommentartextZchn">
    <w:name w:val="Kommentartext Zchn"/>
    <w:basedOn w:val="Absatz-Standardschriftart"/>
    <w:link w:val="Kommentartext"/>
    <w:uiPriority w:val="99"/>
    <w:semiHidden/>
    <w:rsid w:val="00F7380E"/>
    <w:rPr>
      <w:rFonts w:ascii="Calibri" w:hAnsi="Calibri" w:cs="Calibri"/>
      <w:sz w:val="20"/>
      <w:szCs w:val="20"/>
    </w:rPr>
  </w:style>
  <w:style w:type="paragraph" w:styleId="Kommentarthema">
    <w:name w:val="annotation subject"/>
    <w:basedOn w:val="Kommentartext"/>
    <w:next w:val="Kommentartext"/>
    <w:link w:val="KommentarthemaZchn"/>
    <w:uiPriority w:val="99"/>
    <w:semiHidden/>
    <w:unhideWhenUsed/>
    <w:rsid w:val="00F7380E"/>
    <w:rPr>
      <w:b/>
      <w:bCs/>
    </w:rPr>
  </w:style>
  <w:style w:type="character" w:customStyle="1" w:styleId="KommentarthemaZchn">
    <w:name w:val="Kommentarthema Zchn"/>
    <w:basedOn w:val="KommentartextZchn"/>
    <w:link w:val="Kommentarthema"/>
    <w:uiPriority w:val="99"/>
    <w:semiHidden/>
    <w:rsid w:val="00F7380E"/>
    <w:rPr>
      <w:rFonts w:ascii="Calibri" w:hAnsi="Calibri" w:cs="Calibri"/>
      <w:b/>
      <w:bCs/>
      <w:sz w:val="20"/>
      <w:szCs w:val="20"/>
    </w:rPr>
  </w:style>
  <w:style w:type="paragraph" w:styleId="Sprechblasentext">
    <w:name w:val="Balloon Text"/>
    <w:basedOn w:val="Standard"/>
    <w:link w:val="SprechblasentextZchn"/>
    <w:uiPriority w:val="99"/>
    <w:semiHidden/>
    <w:unhideWhenUsed/>
    <w:rsid w:val="00F7380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380E"/>
    <w:rPr>
      <w:rFonts w:ascii="Tahoma" w:hAnsi="Tahoma" w:cs="Tahoma"/>
      <w:sz w:val="16"/>
      <w:szCs w:val="16"/>
    </w:rPr>
  </w:style>
  <w:style w:type="character" w:styleId="Hyperlink">
    <w:name w:val="Hyperlink"/>
    <w:basedOn w:val="Absatz-Standardschriftart"/>
    <w:uiPriority w:val="99"/>
    <w:semiHidden/>
    <w:unhideWhenUsed/>
    <w:rsid w:val="005D3288"/>
    <w:rPr>
      <w:color w:val="0000FF"/>
      <w:u w:val="single"/>
    </w:rPr>
  </w:style>
  <w:style w:type="paragraph" w:styleId="Kopfzeile">
    <w:name w:val="header"/>
    <w:basedOn w:val="Standard"/>
    <w:link w:val="KopfzeileZchn"/>
    <w:uiPriority w:val="99"/>
    <w:unhideWhenUsed/>
    <w:rsid w:val="006D21C8"/>
    <w:pPr>
      <w:tabs>
        <w:tab w:val="center" w:pos="4536"/>
        <w:tab w:val="right" w:pos="9072"/>
      </w:tabs>
    </w:pPr>
  </w:style>
  <w:style w:type="character" w:customStyle="1" w:styleId="KopfzeileZchn">
    <w:name w:val="Kopfzeile Zchn"/>
    <w:basedOn w:val="Absatz-Standardschriftart"/>
    <w:link w:val="Kopfzeile"/>
    <w:uiPriority w:val="99"/>
    <w:rsid w:val="006D21C8"/>
    <w:rPr>
      <w:rFonts w:ascii="Calibri" w:hAnsi="Calibri" w:cs="Calibri"/>
    </w:rPr>
  </w:style>
  <w:style w:type="paragraph" w:styleId="Fuzeile">
    <w:name w:val="footer"/>
    <w:basedOn w:val="Standard"/>
    <w:link w:val="FuzeileZchn"/>
    <w:uiPriority w:val="99"/>
    <w:unhideWhenUsed/>
    <w:rsid w:val="006D21C8"/>
    <w:pPr>
      <w:tabs>
        <w:tab w:val="center" w:pos="4536"/>
        <w:tab w:val="right" w:pos="9072"/>
      </w:tabs>
    </w:pPr>
  </w:style>
  <w:style w:type="character" w:customStyle="1" w:styleId="FuzeileZchn">
    <w:name w:val="Fußzeile Zchn"/>
    <w:basedOn w:val="Absatz-Standardschriftart"/>
    <w:link w:val="Fuzeile"/>
    <w:uiPriority w:val="99"/>
    <w:rsid w:val="006D21C8"/>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56BB"/>
    <w:pPr>
      <w:spacing w:after="0"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256BB"/>
    <w:pPr>
      <w:spacing w:before="100" w:beforeAutospacing="1" w:after="100" w:afterAutospacing="1"/>
    </w:pPr>
    <w:rPr>
      <w:rFonts w:ascii="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F7380E"/>
    <w:rPr>
      <w:sz w:val="16"/>
      <w:szCs w:val="16"/>
    </w:rPr>
  </w:style>
  <w:style w:type="paragraph" w:styleId="Kommentartext">
    <w:name w:val="annotation text"/>
    <w:basedOn w:val="Standard"/>
    <w:link w:val="KommentartextZchn"/>
    <w:uiPriority w:val="99"/>
    <w:semiHidden/>
    <w:unhideWhenUsed/>
    <w:rsid w:val="00F7380E"/>
    <w:rPr>
      <w:sz w:val="20"/>
      <w:szCs w:val="20"/>
    </w:rPr>
  </w:style>
  <w:style w:type="character" w:customStyle="1" w:styleId="KommentartextZchn">
    <w:name w:val="Kommentartext Zchn"/>
    <w:basedOn w:val="Absatz-Standardschriftart"/>
    <w:link w:val="Kommentartext"/>
    <w:uiPriority w:val="99"/>
    <w:semiHidden/>
    <w:rsid w:val="00F7380E"/>
    <w:rPr>
      <w:rFonts w:ascii="Calibri" w:hAnsi="Calibri" w:cs="Calibri"/>
      <w:sz w:val="20"/>
      <w:szCs w:val="20"/>
    </w:rPr>
  </w:style>
  <w:style w:type="paragraph" w:styleId="Kommentarthema">
    <w:name w:val="annotation subject"/>
    <w:basedOn w:val="Kommentartext"/>
    <w:next w:val="Kommentartext"/>
    <w:link w:val="KommentarthemaZchn"/>
    <w:uiPriority w:val="99"/>
    <w:semiHidden/>
    <w:unhideWhenUsed/>
    <w:rsid w:val="00F7380E"/>
    <w:rPr>
      <w:b/>
      <w:bCs/>
    </w:rPr>
  </w:style>
  <w:style w:type="character" w:customStyle="1" w:styleId="KommentarthemaZchn">
    <w:name w:val="Kommentarthema Zchn"/>
    <w:basedOn w:val="KommentartextZchn"/>
    <w:link w:val="Kommentarthema"/>
    <w:uiPriority w:val="99"/>
    <w:semiHidden/>
    <w:rsid w:val="00F7380E"/>
    <w:rPr>
      <w:rFonts w:ascii="Calibri" w:hAnsi="Calibri" w:cs="Calibri"/>
      <w:b/>
      <w:bCs/>
      <w:sz w:val="20"/>
      <w:szCs w:val="20"/>
    </w:rPr>
  </w:style>
  <w:style w:type="paragraph" w:styleId="Sprechblasentext">
    <w:name w:val="Balloon Text"/>
    <w:basedOn w:val="Standard"/>
    <w:link w:val="SprechblasentextZchn"/>
    <w:uiPriority w:val="99"/>
    <w:semiHidden/>
    <w:unhideWhenUsed/>
    <w:rsid w:val="00F7380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380E"/>
    <w:rPr>
      <w:rFonts w:ascii="Tahoma" w:hAnsi="Tahoma" w:cs="Tahoma"/>
      <w:sz w:val="16"/>
      <w:szCs w:val="16"/>
    </w:rPr>
  </w:style>
  <w:style w:type="character" w:styleId="Hyperlink">
    <w:name w:val="Hyperlink"/>
    <w:basedOn w:val="Absatz-Standardschriftart"/>
    <w:uiPriority w:val="99"/>
    <w:semiHidden/>
    <w:unhideWhenUsed/>
    <w:rsid w:val="005D3288"/>
    <w:rPr>
      <w:color w:val="0000FF"/>
      <w:u w:val="single"/>
    </w:rPr>
  </w:style>
  <w:style w:type="paragraph" w:styleId="Kopfzeile">
    <w:name w:val="header"/>
    <w:basedOn w:val="Standard"/>
    <w:link w:val="KopfzeileZchn"/>
    <w:uiPriority w:val="99"/>
    <w:unhideWhenUsed/>
    <w:rsid w:val="006D21C8"/>
    <w:pPr>
      <w:tabs>
        <w:tab w:val="center" w:pos="4536"/>
        <w:tab w:val="right" w:pos="9072"/>
      </w:tabs>
    </w:pPr>
  </w:style>
  <w:style w:type="character" w:customStyle="1" w:styleId="KopfzeileZchn">
    <w:name w:val="Kopfzeile Zchn"/>
    <w:basedOn w:val="Absatz-Standardschriftart"/>
    <w:link w:val="Kopfzeile"/>
    <w:uiPriority w:val="99"/>
    <w:rsid w:val="006D21C8"/>
    <w:rPr>
      <w:rFonts w:ascii="Calibri" w:hAnsi="Calibri" w:cs="Calibri"/>
    </w:rPr>
  </w:style>
  <w:style w:type="paragraph" w:styleId="Fuzeile">
    <w:name w:val="footer"/>
    <w:basedOn w:val="Standard"/>
    <w:link w:val="FuzeileZchn"/>
    <w:uiPriority w:val="99"/>
    <w:unhideWhenUsed/>
    <w:rsid w:val="006D21C8"/>
    <w:pPr>
      <w:tabs>
        <w:tab w:val="center" w:pos="4536"/>
        <w:tab w:val="right" w:pos="9072"/>
      </w:tabs>
    </w:pPr>
  </w:style>
  <w:style w:type="character" w:customStyle="1" w:styleId="FuzeileZchn">
    <w:name w:val="Fußzeile Zchn"/>
    <w:basedOn w:val="Absatz-Standardschriftart"/>
    <w:link w:val="Fuzeile"/>
    <w:uiPriority w:val="99"/>
    <w:rsid w:val="006D21C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62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FD58CAA2</Template>
  <TotalTime>0</TotalTime>
  <Pages>5</Pages>
  <Words>1717</Words>
  <Characters>10821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2014-09-24T12:27:00Z</dcterms:created>
  <dcterms:modified xsi:type="dcterms:W3CDTF">2014-09-24T12:47:00Z</dcterms:modified>
</cp:coreProperties>
</file>