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6C7" w:rsidRPr="0040354D" w:rsidRDefault="00B676C7" w:rsidP="00B676C7">
      <w:pPr>
        <w:jc w:val="right"/>
        <w:rPr>
          <w:rFonts w:ascii="Arial" w:hAnsi="Arial" w:cs="Arial"/>
        </w:rPr>
      </w:pPr>
      <w:r w:rsidRPr="0040354D">
        <w:rPr>
          <w:rFonts w:ascii="Arial" w:hAnsi="Arial" w:cs="Arial"/>
        </w:rPr>
        <w:t xml:space="preserve">Brussels, </w:t>
      </w:r>
      <w:r>
        <w:rPr>
          <w:rFonts w:ascii="Arial" w:hAnsi="Arial" w:cs="Arial"/>
        </w:rPr>
        <w:t xml:space="preserve">2 October </w:t>
      </w:r>
      <w:r w:rsidRPr="0040354D">
        <w:rPr>
          <w:rFonts w:ascii="Arial" w:hAnsi="Arial" w:cs="Arial"/>
        </w:rPr>
        <w:t>2012</w:t>
      </w:r>
    </w:p>
    <w:p w:rsidR="00B676C7" w:rsidRPr="0040354D" w:rsidRDefault="00B676C7" w:rsidP="00B676C7">
      <w:pPr>
        <w:jc w:val="center"/>
        <w:rPr>
          <w:rFonts w:ascii="Arial" w:hAnsi="Arial" w:cs="Arial"/>
        </w:rPr>
      </w:pPr>
    </w:p>
    <w:p w:rsidR="00B676C7" w:rsidRPr="0040354D" w:rsidRDefault="00B676C7" w:rsidP="00B676C7">
      <w:pPr>
        <w:jc w:val="center"/>
        <w:rPr>
          <w:rFonts w:ascii="Arial" w:hAnsi="Arial" w:cs="Arial"/>
          <w:b/>
        </w:rPr>
      </w:pPr>
      <w:r w:rsidRPr="0040354D">
        <w:rPr>
          <w:rFonts w:ascii="Arial" w:hAnsi="Arial" w:cs="Arial"/>
          <w:b/>
        </w:rPr>
        <w:t>AGORIA views on the proposal of General Data Protection Regulation</w:t>
      </w:r>
      <w:r>
        <w:rPr>
          <w:rFonts w:ascii="Arial" w:hAnsi="Arial" w:cs="Arial"/>
          <w:b/>
        </w:rPr>
        <w:t xml:space="preserve"> with focus on the Delegated powers of the European Commission</w:t>
      </w:r>
    </w:p>
    <w:p w:rsidR="00B676C7" w:rsidRDefault="00B676C7" w:rsidP="0026064D">
      <w:pPr>
        <w:jc w:val="both"/>
        <w:rPr>
          <w:rFonts w:ascii="Garamond" w:hAnsi="Garamond"/>
          <w:b/>
          <w:sz w:val="32"/>
          <w:u w:val="single"/>
        </w:rPr>
      </w:pPr>
    </w:p>
    <w:p w:rsidR="0026064D" w:rsidRPr="002A33F2" w:rsidRDefault="0026064D" w:rsidP="0026064D">
      <w:pPr>
        <w:rPr>
          <w:rFonts w:ascii="Garamond" w:hAnsi="Garamond"/>
          <w:b/>
          <w:color w:val="1F497D" w:themeColor="text2"/>
          <w:sz w:val="28"/>
          <w:szCs w:val="28"/>
        </w:rPr>
      </w:pPr>
    </w:p>
    <w:p w:rsidR="0026064D" w:rsidRPr="00B676C7" w:rsidRDefault="0026064D" w:rsidP="0026064D">
      <w:pPr>
        <w:rPr>
          <w:rFonts w:ascii="Garamond" w:hAnsi="Garamond"/>
          <w:b/>
          <w:color w:val="000000" w:themeColor="text1"/>
          <w:sz w:val="28"/>
          <w:szCs w:val="28"/>
          <w:u w:val="single"/>
        </w:rPr>
      </w:pPr>
      <w:r w:rsidRPr="00B676C7">
        <w:rPr>
          <w:rFonts w:ascii="Garamond" w:hAnsi="Garamond"/>
          <w:b/>
          <w:color w:val="000000" w:themeColor="text1"/>
          <w:sz w:val="28"/>
          <w:szCs w:val="28"/>
          <w:u w:val="single"/>
        </w:rPr>
        <w:t>Delegated acts to be rejected</w:t>
      </w:r>
    </w:p>
    <w:p w:rsidR="0026064D" w:rsidRPr="002A33F2" w:rsidRDefault="0026064D" w:rsidP="0026064D">
      <w:pPr>
        <w:rPr>
          <w:rFonts w:ascii="Garamond" w:hAnsi="Garamond"/>
          <w:b/>
          <w:color w:val="1F497D" w:themeColor="text2"/>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26064D" w:rsidRPr="002A33F2" w:rsidTr="003A393A">
        <w:tc>
          <w:tcPr>
            <w:tcW w:w="9622" w:type="dxa"/>
            <w:gridSpan w:val="2"/>
            <w:shd w:val="clear" w:color="auto" w:fill="DDD9C3"/>
          </w:tcPr>
          <w:p w:rsidR="0026064D" w:rsidRPr="002A33F2"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 xml:space="preserve">Article 6 </w:t>
            </w:r>
          </w:p>
          <w:p w:rsidR="0026064D" w:rsidRPr="002A33F2"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 xml:space="preserve">Lawfulness of processing </w:t>
            </w: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r w:rsidRPr="002A33F2">
              <w:rPr>
                <w:rFonts w:ascii="Garamond" w:hAnsi="Garamond"/>
              </w:rPr>
              <w:t>5. The Commission shall be empowered to adopt delegated acts in accordance with Article 86 for the purpose of further specifying the conditions referred to in point (f) of paragraph 1 for various sectors and data processing situations, including as regards the processing of personal data related to a child.</w:t>
            </w: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
                <w:iCs/>
                <w:lang w:eastAsia="en-US"/>
              </w:rPr>
            </w:pPr>
            <w:r>
              <w:rPr>
                <w:rFonts w:ascii="Garamond" w:eastAsia="Calibri" w:hAnsi="Garamond" w:cs="Calibri"/>
                <w:b/>
                <w:i/>
                <w:iCs/>
                <w:sz w:val="22"/>
                <w:szCs w:val="22"/>
                <w:lang w:eastAsia="en-US"/>
              </w:rPr>
              <w:t>D</w:t>
            </w:r>
            <w:r w:rsidRPr="002A33F2">
              <w:rPr>
                <w:rFonts w:ascii="Garamond" w:eastAsia="Calibri" w:hAnsi="Garamond" w:cs="Calibri"/>
                <w:b/>
                <w:i/>
                <w:iCs/>
                <w:sz w:val="22"/>
                <w:szCs w:val="22"/>
                <w:lang w:eastAsia="en-US"/>
              </w:rPr>
              <w:t>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3C66CC" w:rsidRDefault="0026064D" w:rsidP="003A393A">
            <w:pPr>
              <w:rPr>
                <w:rFonts w:ascii="Garamond" w:hAnsi="Garamond"/>
              </w:rPr>
            </w:pPr>
            <w:r w:rsidRPr="002A33F2">
              <w:rPr>
                <w:rFonts w:ascii="Garamond" w:hAnsi="Garamond"/>
              </w:rPr>
              <w:t>Lawfulness of processing is a fundamental principle for both individual’s privacy rights and for any privacy compliance program. Any subsequent change to this applicable principle would undermine legal predictability, prevent harmonization of rules across the European Union, both being fundamental objectives pursued by this new Regulation, and without proving to enhance data subject protection in fine.</w:t>
            </w:r>
          </w:p>
        </w:tc>
      </w:tr>
    </w:tbl>
    <w:p w:rsidR="0026064D" w:rsidRPr="002A33F2" w:rsidRDefault="0026064D" w:rsidP="0026064D">
      <w:pPr>
        <w:rPr>
          <w:rFonts w:ascii="Garamond" w:hAnsi="Garamond"/>
          <w:i/>
        </w:rPr>
      </w:pPr>
    </w:p>
    <w:p w:rsidR="0026064D" w:rsidRPr="002A33F2" w:rsidRDefault="0026064D" w:rsidP="0026064D">
      <w:pPr>
        <w:rPr>
          <w:rFonts w:ascii="Garamond" w:hAnsi="Garamond"/>
          <w:b/>
          <w:color w:val="1F497D" w:themeColor="text2"/>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26064D" w:rsidRPr="002A33F2" w:rsidTr="003A393A">
        <w:tc>
          <w:tcPr>
            <w:tcW w:w="9622" w:type="dxa"/>
            <w:gridSpan w:val="2"/>
            <w:shd w:val="clear" w:color="auto" w:fill="DDD9C3"/>
          </w:tcPr>
          <w:p w:rsidR="0026064D" w:rsidRPr="002A33F2"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 xml:space="preserve">Article 9 </w:t>
            </w:r>
          </w:p>
          <w:p w:rsidR="0026064D" w:rsidRPr="002A33F2"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 xml:space="preserve">Processing of special categories of personal data </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r w:rsidRPr="002A33F2">
              <w:rPr>
                <w:rFonts w:ascii="Garamond" w:hAnsi="Garamond"/>
              </w:rPr>
              <w:t>3. The Commission shall be empowered to adopt delegated acts in accordance with Article 86 for the purpose of further specifying the criteria, conditions and appropriate safeguards for the processing of the special categories of personal data referred to in paragraph 1 and the exemptions laid down in paragraph 2.</w:t>
            </w: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
                <w:iCs/>
                <w:lang w:eastAsia="en-US"/>
              </w:rPr>
            </w:pPr>
            <w:r>
              <w:rPr>
                <w:rFonts w:ascii="Garamond" w:eastAsia="Calibri" w:hAnsi="Garamond" w:cs="Calibri"/>
                <w:b/>
                <w:i/>
                <w:iCs/>
                <w:sz w:val="22"/>
                <w:szCs w:val="22"/>
                <w:lang w:eastAsia="en-US"/>
              </w:rPr>
              <w:t>D</w:t>
            </w:r>
            <w:r w:rsidRPr="002A33F2">
              <w:rPr>
                <w:rFonts w:ascii="Garamond" w:eastAsia="Calibri" w:hAnsi="Garamond" w:cs="Calibri"/>
                <w:b/>
                <w:i/>
                <w:iCs/>
                <w:sz w:val="22"/>
                <w:szCs w:val="22"/>
                <w:lang w:eastAsia="en-US"/>
              </w:rPr>
              <w:t>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B676C7" w:rsidRDefault="0026064D" w:rsidP="00B676C7">
            <w:pPr>
              <w:rPr>
                <w:rFonts w:ascii="Garamond" w:hAnsi="Garamond"/>
              </w:rPr>
            </w:pPr>
            <w:r w:rsidRPr="002A33F2">
              <w:rPr>
                <w:rFonts w:ascii="Garamond" w:hAnsi="Garamond"/>
              </w:rPr>
              <w:t xml:space="preserve">Principles relating to the processing of special categories of personal are a cornerstone of both individual’s privacy rights and of privacy compliance. Any subsequent change to applicable principles would undermine legal predictability prevent harmonization of rules across the European Union, both being fundamental objectives pursued by this new Regulation, and without proving to </w:t>
            </w:r>
            <w:r w:rsidRPr="002A33F2">
              <w:rPr>
                <w:rFonts w:ascii="Garamond" w:hAnsi="Garamond"/>
              </w:rPr>
              <w:lastRenderedPageBreak/>
              <w:t>enhance data subject protection.</w:t>
            </w:r>
          </w:p>
        </w:tc>
      </w:tr>
    </w:tbl>
    <w:p w:rsidR="0026064D" w:rsidRPr="002A33F2" w:rsidRDefault="0026064D" w:rsidP="0026064D">
      <w:pPr>
        <w:rPr>
          <w:rFonts w:ascii="Garamond" w:hAnsi="Garamond"/>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26064D" w:rsidRPr="002A33F2" w:rsidTr="003A393A">
        <w:tc>
          <w:tcPr>
            <w:tcW w:w="9622" w:type="dxa"/>
            <w:gridSpan w:val="2"/>
            <w:shd w:val="clear" w:color="auto" w:fill="DDD9C3"/>
          </w:tcPr>
          <w:p w:rsidR="0026064D" w:rsidRPr="002A33F2"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Article 14</w:t>
            </w:r>
          </w:p>
          <w:p w:rsidR="0026064D" w:rsidRPr="002A33F2"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Information to the data subject</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2A33F2" w:rsidRDefault="0026064D" w:rsidP="003A393A">
            <w:pPr>
              <w:rPr>
                <w:rFonts w:ascii="Garamond" w:hAnsi="Garamond"/>
              </w:rPr>
            </w:pPr>
            <w:r w:rsidRPr="002A33F2">
              <w:rPr>
                <w:rFonts w:ascii="Garamond" w:hAnsi="Garamond"/>
              </w:rPr>
              <w:t xml:space="preserve">     7. The Commission shall be empowered to adopt delegated acts in accordance with Article 86 for the purpose of further specifying the criteria for categories of recipients referred to in point (f) of paragraph 1, the requirements for the notice of potential access referred to in point (g) of paragraph 1, the criteria for the further information necessary referred to in point (h) of paragraph 1 for specific sectors and situations, and the conditions and appropriate safeguards for the exceptions laid down in point (b) of paragraph 5. In doing so, the Commission shall take the appropriate measures for micro, small and medium-sized-enterprises.</w:t>
            </w:r>
          </w:p>
          <w:p w:rsidR="0026064D" w:rsidRPr="002A33F2" w:rsidRDefault="0026064D" w:rsidP="003A393A">
            <w:pPr>
              <w:overflowPunct/>
              <w:autoSpaceDE w:val="0"/>
              <w:autoSpaceDN w:val="0"/>
              <w:adjustRightInd w:val="0"/>
              <w:rPr>
                <w:rFonts w:ascii="Garamond" w:eastAsia="Calibri" w:hAnsi="Garamond" w:cs="Calibri"/>
                <w:iCs/>
                <w:lang w:eastAsia="en-US"/>
              </w:rPr>
            </w:pP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
                <w:iCs/>
                <w:lang w:eastAsia="en-US"/>
              </w:rPr>
            </w:pPr>
            <w:r>
              <w:rPr>
                <w:rFonts w:ascii="Garamond" w:eastAsia="Calibri" w:hAnsi="Garamond" w:cs="Calibri"/>
                <w:b/>
                <w:i/>
                <w:iCs/>
                <w:sz w:val="22"/>
                <w:szCs w:val="22"/>
                <w:lang w:eastAsia="en-US"/>
              </w:rPr>
              <w:t>D</w:t>
            </w:r>
            <w:r w:rsidRPr="002A33F2">
              <w:rPr>
                <w:rFonts w:ascii="Garamond" w:eastAsia="Calibri" w:hAnsi="Garamond" w:cs="Calibri"/>
                <w:b/>
                <w:i/>
                <w:iCs/>
                <w:sz w:val="22"/>
                <w:szCs w:val="22"/>
                <w:lang w:eastAsia="en-US"/>
              </w:rPr>
              <w:t>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2A33F2" w:rsidRDefault="0026064D" w:rsidP="003A393A">
            <w:pPr>
              <w:rPr>
                <w:rFonts w:ascii="Garamond" w:eastAsia="Calibri" w:hAnsi="Garamond" w:cs="Tahoma"/>
                <w:i/>
                <w:lang w:eastAsia="en-US"/>
              </w:rPr>
            </w:pPr>
            <w:r w:rsidRPr="002A33F2">
              <w:rPr>
                <w:rFonts w:ascii="Garamond" w:hAnsi="Garamond"/>
              </w:rPr>
              <w:t>The provisions related to information to the data subject are very detailed and self-explanatory. Introducing changes via subsequent delegated acts would create legal uncertainty without improving data subject right and thus not needed.</w:t>
            </w:r>
          </w:p>
        </w:tc>
      </w:tr>
    </w:tbl>
    <w:p w:rsidR="0026064D" w:rsidRDefault="0026064D" w:rsidP="0026064D">
      <w:pPr>
        <w:rPr>
          <w:rFonts w:ascii="Garamond" w:hAnsi="Garamond"/>
          <w:i/>
        </w:rPr>
      </w:pPr>
    </w:p>
    <w:p w:rsidR="00B676C7" w:rsidRPr="002A33F2" w:rsidRDefault="00B676C7" w:rsidP="0026064D">
      <w:pPr>
        <w:rPr>
          <w:rFonts w:ascii="Garamond" w:hAnsi="Garamond"/>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9"/>
        <w:gridCol w:w="4787"/>
      </w:tblGrid>
      <w:tr w:rsidR="0026064D" w:rsidRPr="002A33F2" w:rsidTr="003A393A">
        <w:tc>
          <w:tcPr>
            <w:tcW w:w="9622" w:type="dxa"/>
            <w:gridSpan w:val="2"/>
            <w:shd w:val="clear" w:color="auto" w:fill="DDD9C3"/>
          </w:tcPr>
          <w:p w:rsidR="0026064D" w:rsidRPr="002A33F2"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Article 15</w:t>
            </w:r>
          </w:p>
          <w:p w:rsidR="0026064D"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Right of access for the data subject</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2A33F2" w:rsidRDefault="0026064D" w:rsidP="003A393A">
            <w:pPr>
              <w:rPr>
                <w:rFonts w:ascii="Garamond" w:hAnsi="Garamond"/>
              </w:rPr>
            </w:pPr>
            <w:r w:rsidRPr="002A33F2">
              <w:rPr>
                <w:rFonts w:ascii="Garamond" w:hAnsi="Garamond"/>
              </w:rPr>
              <w:t xml:space="preserve">     3. The Commission shall be empowered to adopt delegated acts in accordance with Article 86 for the purpose of further specifying the criteria and requirements for the communication to the data subject of the content of the personal data referred to in point (g) of paragraph 1.</w:t>
            </w:r>
          </w:p>
          <w:p w:rsidR="0026064D" w:rsidRPr="002A33F2" w:rsidRDefault="0026064D" w:rsidP="003A393A">
            <w:pPr>
              <w:rPr>
                <w:rFonts w:ascii="Garamond" w:hAnsi="Garamond"/>
              </w:rPr>
            </w:pPr>
          </w:p>
          <w:p w:rsidR="0026064D" w:rsidRPr="002A33F2" w:rsidRDefault="0026064D" w:rsidP="003A393A">
            <w:pPr>
              <w:overflowPunct/>
              <w:autoSpaceDE w:val="0"/>
              <w:autoSpaceDN w:val="0"/>
              <w:adjustRightInd w:val="0"/>
              <w:rPr>
                <w:rFonts w:ascii="Garamond" w:eastAsia="Calibri" w:hAnsi="Garamond" w:cs="Calibri"/>
                <w:iCs/>
                <w:lang w:eastAsia="en-US"/>
              </w:rPr>
            </w:pP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
                <w:iCs/>
                <w:lang w:eastAsia="en-US"/>
              </w:rPr>
            </w:pPr>
            <w:r>
              <w:rPr>
                <w:rFonts w:ascii="Garamond" w:eastAsia="Calibri" w:hAnsi="Garamond" w:cs="Calibri"/>
                <w:b/>
                <w:i/>
                <w:iCs/>
                <w:sz w:val="22"/>
                <w:szCs w:val="22"/>
                <w:lang w:eastAsia="en-US"/>
              </w:rPr>
              <w:t>D</w:t>
            </w:r>
            <w:r w:rsidRPr="002A33F2">
              <w:rPr>
                <w:rFonts w:ascii="Garamond" w:eastAsia="Calibri" w:hAnsi="Garamond" w:cs="Calibri"/>
                <w:b/>
                <w:i/>
                <w:iCs/>
                <w:sz w:val="22"/>
                <w:szCs w:val="22"/>
                <w:lang w:eastAsia="en-US"/>
              </w:rPr>
              <w:t>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lastRenderedPageBreak/>
              <w:t>Justification</w:t>
            </w:r>
          </w:p>
        </w:tc>
      </w:tr>
      <w:tr w:rsidR="0026064D" w:rsidRPr="002A33F2" w:rsidTr="003A393A">
        <w:tc>
          <w:tcPr>
            <w:tcW w:w="9622" w:type="dxa"/>
            <w:gridSpan w:val="2"/>
          </w:tcPr>
          <w:p w:rsidR="0026064D" w:rsidRPr="00B676C7" w:rsidRDefault="0026064D" w:rsidP="00B676C7">
            <w:pPr>
              <w:rPr>
                <w:rFonts w:ascii="Garamond" w:hAnsi="Garamond"/>
              </w:rPr>
            </w:pPr>
            <w:r w:rsidRPr="002A33F2">
              <w:rPr>
                <w:rFonts w:ascii="Garamond" w:hAnsi="Garamond"/>
              </w:rPr>
              <w:t xml:space="preserve">Right of access and particularly communication of personal data undergoing processing as provided for under point (g), first indent, shall not be subject to delegated powers, </w:t>
            </w:r>
            <w:proofErr w:type="gramStart"/>
            <w:r w:rsidRPr="002A33F2">
              <w:rPr>
                <w:rFonts w:ascii="Garamond" w:hAnsi="Garamond"/>
              </w:rPr>
              <w:t>nor</w:t>
            </w:r>
            <w:proofErr w:type="gramEnd"/>
            <w:r w:rsidRPr="002A33F2">
              <w:rPr>
                <w:rFonts w:ascii="Garamond" w:hAnsi="Garamond"/>
              </w:rPr>
              <w:t xml:space="preserve"> any further stringent measures.</w:t>
            </w:r>
          </w:p>
        </w:tc>
      </w:tr>
    </w:tbl>
    <w:p w:rsidR="0026064D" w:rsidRPr="002A33F2" w:rsidRDefault="0026064D" w:rsidP="0026064D">
      <w:pPr>
        <w:rPr>
          <w:rFonts w:ascii="Garamond" w:hAnsi="Garamond"/>
          <w:i/>
        </w:rPr>
      </w:pPr>
    </w:p>
    <w:p w:rsidR="0026064D" w:rsidRPr="002A33F2" w:rsidRDefault="0026064D" w:rsidP="0026064D">
      <w:pPr>
        <w:rPr>
          <w:rFonts w:ascii="Garamond" w:hAnsi="Garamond"/>
          <w:b/>
          <w:color w:val="1F497D" w:themeColor="text2"/>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9"/>
        <w:gridCol w:w="4787"/>
      </w:tblGrid>
      <w:tr w:rsidR="0026064D" w:rsidRPr="002A33F2" w:rsidTr="003A393A">
        <w:tc>
          <w:tcPr>
            <w:tcW w:w="9622" w:type="dxa"/>
            <w:gridSpan w:val="2"/>
            <w:shd w:val="clear" w:color="auto" w:fill="DDD9C3"/>
          </w:tcPr>
          <w:p w:rsidR="0026064D" w:rsidRPr="002A33F2"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 xml:space="preserve">Article 17 </w:t>
            </w:r>
          </w:p>
          <w:p w:rsidR="0026064D"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Right to be forgotten and erasures</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2A33F2" w:rsidRDefault="0026064D" w:rsidP="003A393A">
            <w:pPr>
              <w:rPr>
                <w:rFonts w:ascii="Garamond" w:hAnsi="Garamond"/>
              </w:rPr>
            </w:pPr>
            <w:r w:rsidRPr="002A33F2">
              <w:rPr>
                <w:rFonts w:ascii="Garamond" w:hAnsi="Garamond"/>
              </w:rPr>
              <w:t xml:space="preserve">     9. The Commission shall be empowered to adopt delegated acts in accordance with Article 86 for the purpose of further specifying:</w:t>
            </w:r>
          </w:p>
          <w:p w:rsidR="0026064D" w:rsidRPr="002A33F2" w:rsidRDefault="0026064D" w:rsidP="003A393A">
            <w:pPr>
              <w:rPr>
                <w:rFonts w:ascii="Garamond" w:hAnsi="Garamond"/>
              </w:rPr>
            </w:pPr>
          </w:p>
          <w:p w:rsidR="0026064D" w:rsidRPr="002A33F2" w:rsidRDefault="0026064D" w:rsidP="0026064D">
            <w:pPr>
              <w:pStyle w:val="Point0letter"/>
              <w:numPr>
                <w:ilvl w:val="1"/>
                <w:numId w:val="4"/>
              </w:numPr>
              <w:rPr>
                <w:rFonts w:ascii="Garamond" w:hAnsi="Garamond"/>
              </w:rPr>
            </w:pPr>
            <w:r w:rsidRPr="002A33F2">
              <w:rPr>
                <w:rFonts w:ascii="Garamond" w:hAnsi="Garamond"/>
              </w:rPr>
              <w:t>the criteria and requirements for the application of paragraph 1 for specific sectors and in specific data processing situations;</w:t>
            </w:r>
          </w:p>
          <w:p w:rsidR="0026064D" w:rsidRPr="002A33F2" w:rsidRDefault="0026064D" w:rsidP="0026064D">
            <w:pPr>
              <w:pStyle w:val="Point0letter"/>
              <w:numPr>
                <w:ilvl w:val="1"/>
                <w:numId w:val="4"/>
              </w:numPr>
              <w:rPr>
                <w:rFonts w:ascii="Garamond" w:hAnsi="Garamond"/>
              </w:rPr>
            </w:pPr>
            <w:r w:rsidRPr="002A33F2">
              <w:rPr>
                <w:rFonts w:ascii="Garamond" w:hAnsi="Garamond"/>
              </w:rPr>
              <w:t>(b) the conditions for deleting links, copies or replications of personal data from publicly available communication services as referred to in paragraph 2;</w:t>
            </w:r>
          </w:p>
          <w:p w:rsidR="0026064D" w:rsidRPr="002A33F2" w:rsidRDefault="0026064D" w:rsidP="00B676C7">
            <w:pPr>
              <w:rPr>
                <w:rFonts w:ascii="Garamond" w:hAnsi="Garamond"/>
              </w:rPr>
            </w:pPr>
            <w:r w:rsidRPr="002A33F2">
              <w:rPr>
                <w:rFonts w:ascii="Garamond" w:hAnsi="Garamond"/>
              </w:rPr>
              <w:t xml:space="preserve">     (c) </w:t>
            </w:r>
            <w:proofErr w:type="gramStart"/>
            <w:r w:rsidRPr="002A33F2">
              <w:rPr>
                <w:rFonts w:ascii="Garamond" w:hAnsi="Garamond"/>
              </w:rPr>
              <w:t>the</w:t>
            </w:r>
            <w:proofErr w:type="gramEnd"/>
            <w:r w:rsidRPr="002A33F2">
              <w:rPr>
                <w:rFonts w:ascii="Garamond" w:hAnsi="Garamond"/>
              </w:rPr>
              <w:t xml:space="preserve"> criteria and conditions for restricting the processing of personal data referred to in paragraph 4.</w:t>
            </w: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
                <w:iCs/>
                <w:lang w:eastAsia="en-US"/>
              </w:rPr>
            </w:pPr>
            <w:r>
              <w:rPr>
                <w:rFonts w:ascii="Garamond" w:eastAsia="Calibri" w:hAnsi="Garamond" w:cs="Calibri"/>
                <w:b/>
                <w:i/>
                <w:iCs/>
                <w:sz w:val="22"/>
                <w:szCs w:val="22"/>
                <w:lang w:eastAsia="en-US"/>
              </w:rPr>
              <w:t>D</w:t>
            </w:r>
            <w:r w:rsidRPr="002A33F2">
              <w:rPr>
                <w:rFonts w:ascii="Garamond" w:eastAsia="Calibri" w:hAnsi="Garamond" w:cs="Calibri"/>
                <w:b/>
                <w:i/>
                <w:iCs/>
                <w:sz w:val="22"/>
                <w:szCs w:val="22"/>
                <w:lang w:eastAsia="en-US"/>
              </w:rPr>
              <w:t>elete</w:t>
            </w:r>
          </w:p>
        </w:tc>
      </w:tr>
      <w:tr w:rsidR="0026064D" w:rsidRPr="002A33F2" w:rsidTr="003A393A">
        <w:tc>
          <w:tcPr>
            <w:tcW w:w="9622" w:type="dxa"/>
            <w:gridSpan w:val="2"/>
          </w:tcPr>
          <w:p w:rsidR="0026064D" w:rsidRPr="002A33F2" w:rsidRDefault="0026064D" w:rsidP="003A393A">
            <w:pPr>
              <w:jc w:val="center"/>
              <w:rPr>
                <w:rFonts w:ascii="Garamond" w:hAnsi="Garamond"/>
                <w:i/>
              </w:rPr>
            </w:pPr>
            <w:r w:rsidRPr="002A33F2">
              <w:rPr>
                <w:rFonts w:ascii="Garamond" w:hAnsi="Garamond"/>
                <w:i/>
              </w:rPr>
              <w:t>Justification</w:t>
            </w:r>
          </w:p>
        </w:tc>
      </w:tr>
      <w:tr w:rsidR="0026064D" w:rsidRPr="002A33F2" w:rsidTr="003A393A">
        <w:tc>
          <w:tcPr>
            <w:tcW w:w="9622" w:type="dxa"/>
            <w:gridSpan w:val="2"/>
          </w:tcPr>
          <w:p w:rsidR="0026064D" w:rsidRPr="002A33F2" w:rsidRDefault="0026064D" w:rsidP="003A393A">
            <w:pPr>
              <w:rPr>
                <w:rFonts w:ascii="Garamond" w:hAnsi="Garamond"/>
              </w:rPr>
            </w:pPr>
            <w:r w:rsidRPr="002A33F2">
              <w:rPr>
                <w:rFonts w:ascii="Garamond" w:hAnsi="Garamond"/>
              </w:rPr>
              <w:t>Provisions of article 17 related to right to be forgotten are very detailed and comprehensive. Delegated acts would create legal uncertainty, hamper effective compliance, and risk altering the key technology neutrality principle which is a governing principle for elaborating EU legislation.</w:t>
            </w:r>
          </w:p>
        </w:tc>
      </w:tr>
    </w:tbl>
    <w:p w:rsidR="0026064D" w:rsidRPr="002A33F2" w:rsidRDefault="0026064D" w:rsidP="0026064D">
      <w:pPr>
        <w:rPr>
          <w:rFonts w:ascii="Garamond" w:hAnsi="Garamond"/>
          <w:i/>
        </w:rPr>
      </w:pPr>
    </w:p>
    <w:p w:rsidR="0026064D" w:rsidRPr="002A33F2" w:rsidRDefault="0026064D" w:rsidP="0026064D">
      <w:pPr>
        <w:rPr>
          <w:rFonts w:ascii="Garamond" w:hAnsi="Garamond"/>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26064D" w:rsidRPr="002A33F2" w:rsidTr="003A393A">
        <w:tc>
          <w:tcPr>
            <w:tcW w:w="9622" w:type="dxa"/>
            <w:gridSpan w:val="2"/>
            <w:shd w:val="clear" w:color="auto" w:fill="DDD9C3"/>
          </w:tcPr>
          <w:p w:rsidR="0026064D" w:rsidRPr="002A33F2" w:rsidRDefault="0026064D" w:rsidP="003A393A">
            <w:pPr>
              <w:autoSpaceDE w:val="0"/>
              <w:autoSpaceDN w:val="0"/>
              <w:adjustRightInd w:val="0"/>
              <w:jc w:val="center"/>
              <w:rPr>
                <w:rFonts w:ascii="Garamond" w:hAnsi="Garamond"/>
                <w:b/>
              </w:rPr>
            </w:pPr>
            <w:r w:rsidRPr="002A33F2">
              <w:rPr>
                <w:rFonts w:ascii="Garamond" w:hAnsi="Garamond"/>
                <w:b/>
              </w:rPr>
              <w:t>Article 20</w:t>
            </w:r>
          </w:p>
          <w:p w:rsidR="0026064D" w:rsidRDefault="0026064D" w:rsidP="003A393A">
            <w:pPr>
              <w:autoSpaceDE w:val="0"/>
              <w:autoSpaceDN w:val="0"/>
              <w:adjustRightInd w:val="0"/>
              <w:jc w:val="center"/>
              <w:rPr>
                <w:rFonts w:ascii="Garamond" w:hAnsi="Garamond"/>
                <w:b/>
              </w:rPr>
            </w:pPr>
            <w:r w:rsidRPr="002A33F2">
              <w:rPr>
                <w:rFonts w:ascii="Garamond" w:hAnsi="Garamond"/>
                <w:b/>
              </w:rPr>
              <w:t xml:space="preserve">Measures based on profiling </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B676C7" w:rsidRDefault="0026064D" w:rsidP="00B676C7">
            <w:pPr>
              <w:rPr>
                <w:rFonts w:ascii="Garamond" w:hAnsi="Garamond"/>
              </w:rPr>
            </w:pPr>
            <w:r w:rsidRPr="002A33F2">
              <w:rPr>
                <w:rFonts w:ascii="Garamond" w:hAnsi="Garamond"/>
              </w:rPr>
              <w:t xml:space="preserve">     5. The Commission shall be empowered to adopt delegated acts in accordance with Article 86 for the purpose of further specifying the criteria and conditions for suitable measures to safeguard the data subject's legitimate interests referred to in paragraph 2.</w:t>
            </w: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
                <w:iCs/>
                <w:lang w:eastAsia="en-US"/>
              </w:rPr>
            </w:pPr>
            <w:r>
              <w:rPr>
                <w:rFonts w:ascii="Garamond" w:eastAsia="Calibri" w:hAnsi="Garamond" w:cs="Calibri"/>
                <w:b/>
                <w:i/>
                <w:iCs/>
                <w:sz w:val="22"/>
                <w:szCs w:val="22"/>
                <w:lang w:eastAsia="en-US"/>
              </w:rPr>
              <w:t>D</w:t>
            </w:r>
            <w:r w:rsidRPr="002A33F2">
              <w:rPr>
                <w:rFonts w:ascii="Garamond" w:eastAsia="Calibri" w:hAnsi="Garamond" w:cs="Calibri"/>
                <w:b/>
                <w:i/>
                <w:iCs/>
                <w:sz w:val="22"/>
                <w:szCs w:val="22"/>
                <w:lang w:eastAsia="en-US"/>
              </w:rPr>
              <w:t>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lang w:eastAsia="en-US"/>
              </w:rPr>
              <w:t>Justification</w:t>
            </w:r>
          </w:p>
        </w:tc>
      </w:tr>
      <w:tr w:rsidR="0026064D" w:rsidRPr="002A33F2" w:rsidTr="003A393A">
        <w:tc>
          <w:tcPr>
            <w:tcW w:w="9622" w:type="dxa"/>
            <w:gridSpan w:val="2"/>
          </w:tcPr>
          <w:p w:rsidR="0026064D" w:rsidRPr="00B676C7" w:rsidRDefault="0026064D" w:rsidP="00B676C7">
            <w:pPr>
              <w:rPr>
                <w:rFonts w:ascii="Garamond" w:hAnsi="Garamond"/>
              </w:rPr>
            </w:pPr>
            <w:r w:rsidRPr="002A33F2">
              <w:rPr>
                <w:rFonts w:ascii="Garamond" w:hAnsi="Garamond"/>
              </w:rPr>
              <w:t xml:space="preserve">Provisions within Article 20, paragraph </w:t>
            </w:r>
            <w:proofErr w:type="gramStart"/>
            <w:r w:rsidRPr="002A33F2">
              <w:rPr>
                <w:rFonts w:ascii="Garamond" w:hAnsi="Garamond"/>
              </w:rPr>
              <w:t>2 ,</w:t>
            </w:r>
            <w:proofErr w:type="gramEnd"/>
            <w:r w:rsidRPr="002A33F2">
              <w:rPr>
                <w:rFonts w:ascii="Garamond" w:hAnsi="Garamond"/>
              </w:rPr>
              <w:t xml:space="preserve">  are very clear and shall not be subject to any further delegated acts.</w:t>
            </w:r>
          </w:p>
        </w:tc>
      </w:tr>
    </w:tbl>
    <w:p w:rsidR="0026064D" w:rsidRPr="002A33F2" w:rsidRDefault="0026064D" w:rsidP="0026064D">
      <w:pPr>
        <w:rPr>
          <w:rFonts w:ascii="Garamond" w:hAnsi="Garamond"/>
          <w:i/>
        </w:rPr>
      </w:pPr>
    </w:p>
    <w:p w:rsidR="0026064D" w:rsidRDefault="0026064D" w:rsidP="0026064D">
      <w:pPr>
        <w:rPr>
          <w:rFonts w:ascii="Garamond" w:hAnsi="Garamond"/>
          <w:b/>
          <w:color w:val="1F497D" w:themeColor="text2"/>
          <w:sz w:val="28"/>
          <w:szCs w:val="28"/>
        </w:rPr>
      </w:pPr>
    </w:p>
    <w:p w:rsidR="00B676C7" w:rsidRDefault="00B676C7" w:rsidP="0026064D">
      <w:pPr>
        <w:rPr>
          <w:rFonts w:ascii="Garamond" w:hAnsi="Garamond"/>
          <w:b/>
          <w:color w:val="1F497D" w:themeColor="text2"/>
          <w:sz w:val="28"/>
          <w:szCs w:val="28"/>
        </w:rPr>
      </w:pPr>
    </w:p>
    <w:p w:rsidR="00983FB2" w:rsidRDefault="00983FB2" w:rsidP="0026064D">
      <w:pPr>
        <w:rPr>
          <w:rFonts w:ascii="Garamond" w:hAnsi="Garamond"/>
          <w:b/>
          <w:color w:val="1F497D" w:themeColor="text2"/>
          <w:sz w:val="28"/>
          <w:szCs w:val="28"/>
        </w:rPr>
      </w:pPr>
    </w:p>
    <w:p w:rsidR="00A02E36" w:rsidRPr="002A33F2" w:rsidRDefault="00A02E36" w:rsidP="0026064D">
      <w:pPr>
        <w:rPr>
          <w:rFonts w:ascii="Garamond" w:hAnsi="Garamond"/>
          <w:b/>
          <w:color w:val="1F497D" w:themeColor="text2"/>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9"/>
        <w:gridCol w:w="4787"/>
      </w:tblGrid>
      <w:tr w:rsidR="0026064D" w:rsidRPr="002A33F2" w:rsidTr="003A393A">
        <w:tc>
          <w:tcPr>
            <w:tcW w:w="9622" w:type="dxa"/>
            <w:gridSpan w:val="2"/>
            <w:shd w:val="clear" w:color="auto" w:fill="DDD9C3"/>
          </w:tcPr>
          <w:p w:rsidR="0026064D" w:rsidRPr="002A33F2"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Article 22</w:t>
            </w:r>
          </w:p>
          <w:p w:rsidR="0026064D" w:rsidRPr="002A33F2"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 xml:space="preserve">Responsibility of the controller </w:t>
            </w: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B676C7" w:rsidRDefault="0026064D" w:rsidP="00B676C7">
            <w:pPr>
              <w:rPr>
                <w:rFonts w:ascii="Garamond" w:hAnsi="Garamond"/>
              </w:rPr>
            </w:pPr>
            <w:r w:rsidRPr="002A33F2">
              <w:rPr>
                <w:rFonts w:ascii="Garamond" w:hAnsi="Garamond"/>
              </w:rPr>
              <w:t>4. The Commission shall be empowered to adopt delegated acts in accordance with Article 86 for the purpose of specifying any further criteria and requirements for appropriate measures referred to in paragraph 1 other than those already referred to in paragraph 2, the conditions for the verification and auditing mechanisms referred to in paragraph 3 and as regards the criteria for proportionality under paragraph 3, and considering specific measures for micro, small and medium-sized-enterprises.</w:t>
            </w: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
                <w:iCs/>
                <w:lang w:eastAsia="en-US"/>
              </w:rPr>
            </w:pPr>
            <w:r>
              <w:rPr>
                <w:rFonts w:ascii="Garamond" w:eastAsia="Calibri" w:hAnsi="Garamond" w:cs="Calibri"/>
                <w:b/>
                <w:i/>
                <w:iCs/>
                <w:sz w:val="22"/>
                <w:szCs w:val="22"/>
                <w:lang w:eastAsia="en-US"/>
              </w:rPr>
              <w:t>D</w:t>
            </w:r>
            <w:r w:rsidRPr="002A33F2">
              <w:rPr>
                <w:rFonts w:ascii="Garamond" w:eastAsia="Calibri" w:hAnsi="Garamond" w:cs="Calibri"/>
                <w:b/>
                <w:i/>
                <w:iCs/>
                <w:sz w:val="22"/>
                <w:szCs w:val="22"/>
                <w:lang w:eastAsia="en-US"/>
              </w:rPr>
              <w:t>elete</w:t>
            </w:r>
          </w:p>
        </w:tc>
      </w:tr>
      <w:tr w:rsidR="0026064D" w:rsidRPr="002A33F2" w:rsidTr="00A02E36">
        <w:trPr>
          <w:trHeight w:val="325"/>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3C66CC" w:rsidRDefault="0026064D" w:rsidP="003A393A">
            <w:pPr>
              <w:rPr>
                <w:rFonts w:ascii="Garamond" w:hAnsi="Garamond"/>
              </w:rPr>
            </w:pPr>
            <w:r w:rsidRPr="002A33F2">
              <w:rPr>
                <w:rFonts w:ascii="Garamond" w:hAnsi="Garamond"/>
              </w:rPr>
              <w:t>Article 22 and paragraphs 1 and 2 are comprehensive and provide controllers with sufficient flexibility to comply with the specificities that every different case requires. This balanced approach should not be altered with subsequent specifications via delegated acts which would render compliance complex, without improving controllers’ ability to enhance data subject rights protection.</w:t>
            </w:r>
          </w:p>
        </w:tc>
      </w:tr>
    </w:tbl>
    <w:p w:rsidR="0026064D" w:rsidRPr="002A33F2" w:rsidRDefault="0026064D" w:rsidP="0026064D">
      <w:pPr>
        <w:rPr>
          <w:rFonts w:ascii="Garamond" w:hAnsi="Garamond"/>
          <w:i/>
        </w:rPr>
      </w:pPr>
    </w:p>
    <w:p w:rsidR="0026064D" w:rsidRPr="002A33F2" w:rsidRDefault="0026064D" w:rsidP="0026064D">
      <w:pPr>
        <w:rPr>
          <w:rFonts w:ascii="Garamond" w:hAnsi="Garamond"/>
          <w:b/>
          <w:color w:val="1F497D" w:themeColor="text2"/>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9"/>
        <w:gridCol w:w="4787"/>
      </w:tblGrid>
      <w:tr w:rsidR="0026064D" w:rsidRPr="002A33F2" w:rsidTr="003A393A">
        <w:tc>
          <w:tcPr>
            <w:tcW w:w="9622" w:type="dxa"/>
            <w:gridSpan w:val="2"/>
            <w:shd w:val="clear" w:color="auto" w:fill="DDD9C3"/>
          </w:tcPr>
          <w:p w:rsidR="0026064D" w:rsidRPr="002A33F2" w:rsidRDefault="0026064D" w:rsidP="003A393A">
            <w:pPr>
              <w:autoSpaceDE w:val="0"/>
              <w:autoSpaceDN w:val="0"/>
              <w:adjustRightInd w:val="0"/>
              <w:jc w:val="center"/>
              <w:rPr>
                <w:rFonts w:ascii="Garamond" w:hAnsi="Garamond"/>
                <w:b/>
              </w:rPr>
            </w:pPr>
            <w:r w:rsidRPr="002A33F2">
              <w:rPr>
                <w:rFonts w:ascii="Garamond" w:hAnsi="Garamond"/>
                <w:b/>
              </w:rPr>
              <w:t>Article 23</w:t>
            </w:r>
          </w:p>
          <w:p w:rsidR="0026064D" w:rsidRDefault="0026064D" w:rsidP="003A393A">
            <w:pPr>
              <w:autoSpaceDE w:val="0"/>
              <w:autoSpaceDN w:val="0"/>
              <w:adjustRightInd w:val="0"/>
              <w:jc w:val="center"/>
              <w:rPr>
                <w:rFonts w:ascii="Garamond" w:hAnsi="Garamond"/>
                <w:b/>
              </w:rPr>
            </w:pPr>
            <w:r w:rsidRPr="002A33F2">
              <w:rPr>
                <w:rFonts w:ascii="Garamond" w:hAnsi="Garamond"/>
                <w:b/>
              </w:rPr>
              <w:t>Privacy by design and by default</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2A33F2" w:rsidRDefault="0026064D" w:rsidP="003A393A">
            <w:pPr>
              <w:rPr>
                <w:rFonts w:ascii="Garamond" w:hAnsi="Garamond"/>
              </w:rPr>
            </w:pPr>
            <w:r w:rsidRPr="002A33F2">
              <w:rPr>
                <w:rFonts w:ascii="Garamond" w:hAnsi="Garamond"/>
              </w:rPr>
              <w:t xml:space="preserve"> 3. The Commission shall be empowered to adopt delegated acts in accordance with Article 86 for the purpose of specifying any further criteria and requirements for appropriate measures and mechanisms referred to in paragraph 1 and 2, in particular for data protection by design requirements applicable across sectors, products and services.</w:t>
            </w:r>
          </w:p>
          <w:p w:rsidR="0026064D" w:rsidRPr="002A33F2" w:rsidRDefault="0026064D" w:rsidP="003A393A">
            <w:pPr>
              <w:rPr>
                <w:rFonts w:ascii="Garamond" w:hAnsi="Garamond"/>
              </w:rPr>
            </w:pPr>
          </w:p>
          <w:p w:rsidR="0026064D" w:rsidRPr="002A33F2" w:rsidRDefault="0026064D" w:rsidP="003A393A">
            <w:pPr>
              <w:overflowPunct/>
              <w:autoSpaceDE w:val="0"/>
              <w:autoSpaceDN w:val="0"/>
              <w:adjustRightInd w:val="0"/>
              <w:rPr>
                <w:rFonts w:ascii="Garamond" w:eastAsia="Calibri" w:hAnsi="Garamond" w:cs="Calibri"/>
                <w:iCs/>
                <w:lang w:eastAsia="en-US"/>
              </w:rPr>
            </w:pPr>
            <w:r w:rsidRPr="002A33F2">
              <w:rPr>
                <w:rFonts w:ascii="Garamond" w:hAnsi="Garamond"/>
              </w:rPr>
              <w:t>4. The Commission may lay down technical standards for the requirements laid down in paragraph 1 and 2. Those implementing acts shall be adopted in accordance with the examination procedure referred to in Article 87(2).</w:t>
            </w:r>
          </w:p>
        </w:tc>
        <w:tc>
          <w:tcPr>
            <w:tcW w:w="4811" w:type="dxa"/>
          </w:tcPr>
          <w:p w:rsidR="0026064D" w:rsidRDefault="0026064D" w:rsidP="003A393A">
            <w:pPr>
              <w:spacing w:before="60" w:after="60" w:line="260" w:lineRule="atLeast"/>
              <w:rPr>
                <w:rFonts w:ascii="Garamond" w:hAnsi="Garamond"/>
                <w:strike/>
              </w:rPr>
            </w:pPr>
          </w:p>
          <w:p w:rsidR="00A02E36" w:rsidRPr="00A02E36" w:rsidRDefault="00A02E36" w:rsidP="003A393A">
            <w:pPr>
              <w:spacing w:before="60" w:after="60" w:line="260" w:lineRule="atLeast"/>
              <w:rPr>
                <w:rFonts w:ascii="Garamond" w:hAnsi="Garamond"/>
                <w:b/>
                <w:i/>
              </w:rPr>
            </w:pPr>
            <w:r w:rsidRPr="00A02E36">
              <w:rPr>
                <w:rFonts w:ascii="Garamond" w:hAnsi="Garamond"/>
                <w:b/>
                <w:i/>
              </w:rPr>
              <w:t>Delete</w:t>
            </w:r>
          </w:p>
        </w:tc>
      </w:tr>
      <w:tr w:rsidR="0026064D" w:rsidRPr="003C66CC" w:rsidTr="00A02E36">
        <w:trPr>
          <w:trHeight w:val="339"/>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rPr>
          <w:trHeight w:val="821"/>
        </w:trPr>
        <w:tc>
          <w:tcPr>
            <w:tcW w:w="9622" w:type="dxa"/>
            <w:gridSpan w:val="2"/>
          </w:tcPr>
          <w:p w:rsidR="0026064D" w:rsidRPr="002A33F2" w:rsidRDefault="0026064D" w:rsidP="003A393A">
            <w:pPr>
              <w:spacing w:before="60" w:after="60" w:line="260" w:lineRule="atLeast"/>
              <w:rPr>
                <w:rFonts w:ascii="Garamond" w:eastAsia="Calibri" w:hAnsi="Garamond" w:cs="Calibri"/>
                <w:b/>
                <w:i/>
                <w:iCs/>
                <w:lang w:eastAsia="en-US"/>
              </w:rPr>
            </w:pPr>
            <w:r w:rsidRPr="002A33F2">
              <w:rPr>
                <w:rFonts w:ascii="Garamond" w:hAnsi="Garamond" w:cstheme="minorHAnsi"/>
              </w:rPr>
              <w:t>Privacy by design and privacy by default are important concepts which have far reaching impact. Adoption of subsequent delegated acts could alter the technology neutrality principle which lies at core of the EU decision making-process and as such adoption of subsequent delegated acts should be refrained.</w:t>
            </w:r>
          </w:p>
        </w:tc>
      </w:tr>
    </w:tbl>
    <w:p w:rsidR="0026064D" w:rsidRPr="002A33F2" w:rsidRDefault="0026064D" w:rsidP="0026064D">
      <w:pPr>
        <w:rPr>
          <w:rFonts w:ascii="Garamond" w:hAnsi="Garamond"/>
          <w:i/>
        </w:rPr>
      </w:pPr>
    </w:p>
    <w:p w:rsidR="0026064D" w:rsidRPr="002A33F2" w:rsidRDefault="0026064D" w:rsidP="0026064D">
      <w:pPr>
        <w:jc w:val="center"/>
        <w:rPr>
          <w:rFonts w:ascii="Garamond" w:hAnsi="Garamond"/>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9"/>
        <w:gridCol w:w="4787"/>
      </w:tblGrid>
      <w:tr w:rsidR="0026064D" w:rsidRPr="002A33F2" w:rsidTr="003A393A">
        <w:tc>
          <w:tcPr>
            <w:tcW w:w="9622" w:type="dxa"/>
            <w:gridSpan w:val="2"/>
            <w:shd w:val="clear" w:color="auto" w:fill="DDD9C3"/>
          </w:tcPr>
          <w:p w:rsidR="0026064D" w:rsidRPr="002A33F2" w:rsidRDefault="0026064D" w:rsidP="003A393A">
            <w:pPr>
              <w:overflowPunct/>
              <w:jc w:val="center"/>
              <w:rPr>
                <w:rFonts w:ascii="Garamond" w:eastAsia="Calibri" w:hAnsi="Garamond" w:cs="Tahoma"/>
                <w:b/>
                <w:lang w:eastAsia="en-US"/>
              </w:rPr>
            </w:pPr>
            <w:r w:rsidRPr="002A33F2">
              <w:rPr>
                <w:rFonts w:ascii="Garamond" w:eastAsia="Calibri" w:hAnsi="Garamond" w:cs="Tahoma"/>
                <w:b/>
                <w:sz w:val="22"/>
                <w:szCs w:val="22"/>
                <w:lang w:eastAsia="en-US"/>
              </w:rPr>
              <w:t>Article 26</w:t>
            </w:r>
          </w:p>
          <w:p w:rsidR="0026064D" w:rsidRDefault="0026064D" w:rsidP="003A393A">
            <w:pPr>
              <w:overflowPunct/>
              <w:jc w:val="center"/>
              <w:rPr>
                <w:rFonts w:ascii="Garamond" w:eastAsia="Calibri" w:hAnsi="Garamond" w:cs="Tahoma"/>
                <w:b/>
                <w:lang w:eastAsia="en-US"/>
              </w:rPr>
            </w:pPr>
            <w:r w:rsidRPr="002A33F2">
              <w:rPr>
                <w:rFonts w:ascii="Garamond" w:eastAsia="Calibri" w:hAnsi="Garamond" w:cs="Tahoma"/>
                <w:b/>
                <w:sz w:val="22"/>
                <w:szCs w:val="22"/>
                <w:lang w:eastAsia="en-US"/>
              </w:rPr>
              <w:t>Processor</w:t>
            </w:r>
          </w:p>
          <w:p w:rsidR="0026064D" w:rsidRPr="002A33F2" w:rsidRDefault="0026064D" w:rsidP="003A393A">
            <w:pPr>
              <w:overflowPunct/>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r w:rsidRPr="002A33F2">
              <w:rPr>
                <w:rFonts w:ascii="Garamond" w:hAnsi="Garamond"/>
              </w:rPr>
              <w:t>5. The Commission shall be empowered to adopt delegated acts in accordance with Article 86 for the purpose of further specifying the criteria and requirements for the responsibilities, duties and tasks in relation to a processor in line with paragraph 1, and conditions which allow facilitating the processing of personal data within a group of undertakings, in particular for the purposes of control and reporting.</w:t>
            </w: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
                <w:iCs/>
                <w:lang w:eastAsia="en-US"/>
              </w:rPr>
            </w:pPr>
            <w:r>
              <w:rPr>
                <w:rFonts w:ascii="Garamond" w:eastAsia="Calibri" w:hAnsi="Garamond" w:cs="Calibri"/>
                <w:b/>
                <w:i/>
                <w:iCs/>
                <w:sz w:val="22"/>
                <w:szCs w:val="22"/>
                <w:lang w:eastAsia="en-US"/>
              </w:rPr>
              <w:t>D</w:t>
            </w:r>
            <w:r w:rsidRPr="002A33F2">
              <w:rPr>
                <w:rFonts w:ascii="Garamond" w:eastAsia="Calibri" w:hAnsi="Garamond" w:cs="Calibri"/>
                <w:b/>
                <w:i/>
                <w:iCs/>
                <w:sz w:val="22"/>
                <w:szCs w:val="22"/>
                <w:lang w:eastAsia="en-US"/>
              </w:rPr>
              <w:t>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2A33F2" w:rsidRDefault="0026064D" w:rsidP="003A393A">
            <w:pPr>
              <w:rPr>
                <w:rFonts w:ascii="Garamond" w:eastAsia="Calibri" w:hAnsi="Garamond" w:cs="Tahoma"/>
                <w:i/>
                <w:lang w:eastAsia="en-US"/>
              </w:rPr>
            </w:pPr>
            <w:r w:rsidRPr="002A33F2">
              <w:rPr>
                <w:rFonts w:ascii="Garamond" w:hAnsi="Garamond"/>
              </w:rPr>
              <w:t>Provisions related to the processor are very detailed and self-explanatory. Furthermore, contractual freedom which allows for flexibility and customisation of services on a case by case basis should prevail and be admitted as a principle of law, thus the adoption of subsequent measures should therefore be refrained.</w:t>
            </w:r>
          </w:p>
        </w:tc>
      </w:tr>
    </w:tbl>
    <w:p w:rsidR="0026064D" w:rsidRPr="002A33F2" w:rsidRDefault="0026064D" w:rsidP="0026064D">
      <w:pPr>
        <w:rPr>
          <w:rFonts w:ascii="Garamond" w:hAnsi="Garamond"/>
          <w:i/>
        </w:rPr>
      </w:pPr>
    </w:p>
    <w:p w:rsidR="0026064D" w:rsidRPr="002A33F2" w:rsidRDefault="0026064D" w:rsidP="0026064D">
      <w:pPr>
        <w:rPr>
          <w:rFonts w:ascii="Garamond" w:hAnsi="Garamond"/>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9"/>
        <w:gridCol w:w="4787"/>
      </w:tblGrid>
      <w:tr w:rsidR="0026064D" w:rsidRPr="002A33F2" w:rsidTr="003A393A">
        <w:tc>
          <w:tcPr>
            <w:tcW w:w="9622" w:type="dxa"/>
            <w:gridSpan w:val="2"/>
            <w:shd w:val="clear" w:color="auto" w:fill="DDD9C3"/>
          </w:tcPr>
          <w:p w:rsidR="0026064D" w:rsidRPr="002A33F2" w:rsidRDefault="0026064D" w:rsidP="003A393A">
            <w:pPr>
              <w:autoSpaceDE w:val="0"/>
              <w:autoSpaceDN w:val="0"/>
              <w:adjustRightInd w:val="0"/>
              <w:jc w:val="center"/>
              <w:rPr>
                <w:rFonts w:ascii="Garamond" w:eastAsia="Calibri" w:hAnsi="Garamond" w:cs="Tahoma"/>
                <w:b/>
                <w:lang w:eastAsia="en-US"/>
              </w:rPr>
            </w:pPr>
            <w:r w:rsidRPr="00B676C7">
              <w:rPr>
                <w:rFonts w:ascii="Garamond" w:hAnsi="Garamond"/>
                <w:b/>
              </w:rPr>
              <w:t>A</w:t>
            </w:r>
            <w:r w:rsidRPr="002A33F2">
              <w:rPr>
                <w:rFonts w:ascii="Garamond" w:eastAsia="Calibri" w:hAnsi="Garamond" w:cs="Tahoma"/>
                <w:b/>
                <w:sz w:val="22"/>
                <w:szCs w:val="22"/>
                <w:lang w:eastAsia="en-US"/>
              </w:rPr>
              <w:t>rticle 28</w:t>
            </w:r>
          </w:p>
          <w:p w:rsidR="0026064D"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Documentation</w:t>
            </w:r>
          </w:p>
          <w:p w:rsidR="0026064D" w:rsidRPr="002A33F2"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 xml:space="preserve"> </w:t>
            </w: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B676C7" w:rsidRDefault="0026064D" w:rsidP="00B676C7">
            <w:pPr>
              <w:rPr>
                <w:rFonts w:ascii="Garamond" w:hAnsi="Garamond"/>
              </w:rPr>
            </w:pPr>
            <w:r w:rsidRPr="002A33F2">
              <w:rPr>
                <w:rFonts w:ascii="Garamond" w:hAnsi="Garamond"/>
              </w:rPr>
              <w:t xml:space="preserve">     5. The Commission shall be empowered to adopt delegated acts in accordance with Article 86 for the purpose of further specifying the criteria and requirements for the documentation referred to in paragraph 1, to take account of in particular the responsibilities of the controller and the processor and, if any, the controller's representative.</w:t>
            </w: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
                <w:iCs/>
                <w:lang w:eastAsia="en-US"/>
              </w:rPr>
            </w:pPr>
            <w:r>
              <w:rPr>
                <w:rFonts w:ascii="Garamond" w:eastAsia="Calibri" w:hAnsi="Garamond" w:cs="Calibri"/>
                <w:b/>
                <w:i/>
                <w:iCs/>
                <w:sz w:val="22"/>
                <w:szCs w:val="22"/>
                <w:lang w:eastAsia="en-US"/>
              </w:rPr>
              <w:t>D</w:t>
            </w:r>
            <w:r w:rsidRPr="002A33F2">
              <w:rPr>
                <w:rFonts w:ascii="Garamond" w:eastAsia="Calibri" w:hAnsi="Garamond" w:cs="Calibri"/>
                <w:b/>
                <w:i/>
                <w:iCs/>
                <w:sz w:val="22"/>
                <w:szCs w:val="22"/>
                <w:lang w:eastAsia="en-US"/>
              </w:rPr>
              <w:t>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B676C7" w:rsidRDefault="0026064D" w:rsidP="00B676C7">
            <w:pPr>
              <w:rPr>
                <w:rFonts w:ascii="Garamond" w:hAnsi="Garamond"/>
              </w:rPr>
            </w:pPr>
            <w:r w:rsidRPr="002A33F2">
              <w:rPr>
                <w:rFonts w:ascii="Garamond" w:hAnsi="Garamond"/>
              </w:rPr>
              <w:t xml:space="preserve">Documentation requirements are extremely detailed and introduction of subsequent measures via delegated acts would only introduce complexity and ‘red-tape’ without necessarily enhancing data subjects’ protection, thus failing to deliver on the harmonization and simplifications objectives that this Regulation aims to achieve. </w:t>
            </w:r>
          </w:p>
        </w:tc>
      </w:tr>
    </w:tbl>
    <w:p w:rsidR="0026064D" w:rsidRPr="002A33F2" w:rsidRDefault="0026064D" w:rsidP="0026064D">
      <w:pPr>
        <w:rPr>
          <w:rFonts w:ascii="Garamond" w:hAnsi="Garamond"/>
          <w:i/>
        </w:rPr>
      </w:pPr>
    </w:p>
    <w:p w:rsidR="0026064D" w:rsidRPr="002A33F2" w:rsidRDefault="0026064D" w:rsidP="0026064D">
      <w:pPr>
        <w:rPr>
          <w:rFonts w:ascii="Garamond" w:hAnsi="Garamond"/>
          <w:b/>
          <w:color w:val="1F497D" w:themeColor="text2"/>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9"/>
        <w:gridCol w:w="4787"/>
      </w:tblGrid>
      <w:tr w:rsidR="0026064D" w:rsidRPr="002A33F2" w:rsidTr="003A393A">
        <w:tc>
          <w:tcPr>
            <w:tcW w:w="9622" w:type="dxa"/>
            <w:gridSpan w:val="2"/>
            <w:shd w:val="clear" w:color="auto" w:fill="DDD9C3"/>
          </w:tcPr>
          <w:p w:rsidR="0026064D" w:rsidRPr="002A33F2"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Article 30</w:t>
            </w:r>
          </w:p>
          <w:p w:rsidR="0026064D"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 xml:space="preserve">Security of processing </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2A33F2" w:rsidRDefault="0026064D" w:rsidP="003A393A">
            <w:pPr>
              <w:autoSpaceDE w:val="0"/>
              <w:autoSpaceDN w:val="0"/>
              <w:adjustRightInd w:val="0"/>
              <w:rPr>
                <w:rFonts w:ascii="Garamond" w:eastAsiaTheme="minorHAnsi" w:hAnsi="Garamond"/>
              </w:rPr>
            </w:pPr>
            <w:r w:rsidRPr="002A33F2">
              <w:rPr>
                <w:rFonts w:ascii="Garamond" w:hAnsi="Garamond"/>
              </w:rPr>
              <w:t xml:space="preserve">     3.</w:t>
            </w:r>
            <w:r w:rsidRPr="002A33F2">
              <w:rPr>
                <w:rFonts w:ascii="Garamond" w:eastAsiaTheme="minorHAnsi" w:hAnsi="Garamond"/>
              </w:rPr>
              <w:t xml:space="preserve"> The Commission shall be empowered to adopt delegated acts in accordance with</w:t>
            </w:r>
          </w:p>
          <w:p w:rsidR="0026064D" w:rsidRPr="002A33F2" w:rsidRDefault="0026064D" w:rsidP="003A393A">
            <w:pPr>
              <w:autoSpaceDE w:val="0"/>
              <w:autoSpaceDN w:val="0"/>
              <w:adjustRightInd w:val="0"/>
              <w:rPr>
                <w:rFonts w:ascii="Garamond" w:eastAsiaTheme="minorHAnsi" w:hAnsi="Garamond"/>
              </w:rPr>
            </w:pPr>
            <w:r w:rsidRPr="002A33F2">
              <w:rPr>
                <w:rFonts w:ascii="Garamond" w:eastAsiaTheme="minorHAnsi" w:hAnsi="Garamond"/>
              </w:rPr>
              <w:t>Article 86 for the purpose of further specifying the criteria and conditions for the</w:t>
            </w:r>
          </w:p>
          <w:p w:rsidR="0026064D" w:rsidRPr="002A33F2" w:rsidRDefault="0026064D" w:rsidP="003A393A">
            <w:pPr>
              <w:autoSpaceDE w:val="0"/>
              <w:autoSpaceDN w:val="0"/>
              <w:adjustRightInd w:val="0"/>
              <w:rPr>
                <w:rFonts w:ascii="Garamond" w:eastAsiaTheme="minorHAnsi" w:hAnsi="Garamond"/>
              </w:rPr>
            </w:pPr>
            <w:r w:rsidRPr="002A33F2">
              <w:rPr>
                <w:rFonts w:ascii="Garamond" w:eastAsiaTheme="minorHAnsi" w:hAnsi="Garamond"/>
              </w:rPr>
              <w:t>technical and organizational measures referred to in paragraphs 1 and 2, including the</w:t>
            </w:r>
          </w:p>
          <w:p w:rsidR="0026064D" w:rsidRPr="002A33F2" w:rsidRDefault="0026064D" w:rsidP="003A393A">
            <w:pPr>
              <w:autoSpaceDE w:val="0"/>
              <w:autoSpaceDN w:val="0"/>
              <w:adjustRightInd w:val="0"/>
              <w:rPr>
                <w:rFonts w:ascii="Garamond" w:eastAsiaTheme="minorHAnsi" w:hAnsi="Garamond"/>
              </w:rPr>
            </w:pPr>
            <w:r w:rsidRPr="002A33F2">
              <w:rPr>
                <w:rFonts w:ascii="Garamond" w:eastAsiaTheme="minorHAnsi" w:hAnsi="Garamond"/>
              </w:rPr>
              <w:t>determinations of what constitutes the state of the art, for specific sectors and in</w:t>
            </w:r>
          </w:p>
          <w:p w:rsidR="0026064D" w:rsidRPr="002A33F2" w:rsidRDefault="0026064D" w:rsidP="003A393A">
            <w:pPr>
              <w:autoSpaceDE w:val="0"/>
              <w:autoSpaceDN w:val="0"/>
              <w:adjustRightInd w:val="0"/>
              <w:rPr>
                <w:rFonts w:ascii="Garamond" w:eastAsiaTheme="minorHAnsi" w:hAnsi="Garamond"/>
              </w:rPr>
            </w:pPr>
            <w:r w:rsidRPr="002A33F2">
              <w:rPr>
                <w:rFonts w:ascii="Garamond" w:eastAsiaTheme="minorHAnsi" w:hAnsi="Garamond"/>
              </w:rPr>
              <w:t>specific data processing situations, in particular taking account of developments in</w:t>
            </w:r>
          </w:p>
          <w:p w:rsidR="0026064D" w:rsidRPr="002A33F2" w:rsidRDefault="0026064D" w:rsidP="003A393A">
            <w:pPr>
              <w:autoSpaceDE w:val="0"/>
              <w:autoSpaceDN w:val="0"/>
              <w:adjustRightInd w:val="0"/>
              <w:rPr>
                <w:rFonts w:ascii="Garamond" w:eastAsiaTheme="minorHAnsi" w:hAnsi="Garamond"/>
              </w:rPr>
            </w:pPr>
            <w:r w:rsidRPr="002A33F2">
              <w:rPr>
                <w:rFonts w:ascii="Garamond" w:eastAsiaTheme="minorHAnsi" w:hAnsi="Garamond"/>
              </w:rPr>
              <w:t>technology and solutions for privacy by design and data protection by default, unless</w:t>
            </w:r>
          </w:p>
          <w:p w:rsidR="0026064D" w:rsidRPr="002A33F2" w:rsidRDefault="0026064D" w:rsidP="003A393A">
            <w:pPr>
              <w:autoSpaceDE w:val="0"/>
              <w:autoSpaceDN w:val="0"/>
              <w:adjustRightInd w:val="0"/>
              <w:rPr>
                <w:rFonts w:ascii="Garamond" w:eastAsiaTheme="minorHAnsi" w:hAnsi="Garamond"/>
              </w:rPr>
            </w:pPr>
            <w:proofErr w:type="gramStart"/>
            <w:r w:rsidRPr="002A33F2">
              <w:rPr>
                <w:rFonts w:ascii="Garamond" w:eastAsiaTheme="minorHAnsi" w:hAnsi="Garamond"/>
              </w:rPr>
              <w:t>paragraph</w:t>
            </w:r>
            <w:proofErr w:type="gramEnd"/>
            <w:r w:rsidRPr="002A33F2">
              <w:rPr>
                <w:rFonts w:ascii="Garamond" w:eastAsiaTheme="minorHAnsi" w:hAnsi="Garamond"/>
              </w:rPr>
              <w:t xml:space="preserve"> 4 applies.</w:t>
            </w:r>
          </w:p>
          <w:p w:rsidR="0026064D" w:rsidRPr="002A33F2" w:rsidRDefault="0026064D" w:rsidP="003A393A">
            <w:pPr>
              <w:autoSpaceDE w:val="0"/>
              <w:autoSpaceDN w:val="0"/>
              <w:adjustRightInd w:val="0"/>
              <w:rPr>
                <w:rFonts w:ascii="Garamond" w:hAnsi="Garamond"/>
              </w:rPr>
            </w:pPr>
          </w:p>
          <w:p w:rsidR="0026064D" w:rsidRPr="002A33F2" w:rsidRDefault="0026064D" w:rsidP="003A393A">
            <w:pPr>
              <w:autoSpaceDE w:val="0"/>
              <w:autoSpaceDN w:val="0"/>
              <w:adjustRightInd w:val="0"/>
              <w:rPr>
                <w:rFonts w:ascii="Garamond" w:eastAsiaTheme="minorHAnsi" w:hAnsi="Garamond"/>
              </w:rPr>
            </w:pPr>
            <w:r w:rsidRPr="002A33F2">
              <w:rPr>
                <w:rFonts w:ascii="Garamond" w:hAnsi="Garamond"/>
              </w:rPr>
              <w:t xml:space="preserve">4. </w:t>
            </w:r>
            <w:r w:rsidRPr="002A33F2">
              <w:rPr>
                <w:rFonts w:ascii="Garamond" w:eastAsiaTheme="minorHAnsi" w:hAnsi="Garamond"/>
              </w:rPr>
              <w:t>The Commission may adopt, where necessary,   implementing acts for specifying the</w:t>
            </w:r>
          </w:p>
          <w:p w:rsidR="0026064D" w:rsidRPr="002A33F2" w:rsidRDefault="0026064D" w:rsidP="003A393A">
            <w:pPr>
              <w:autoSpaceDE w:val="0"/>
              <w:autoSpaceDN w:val="0"/>
              <w:adjustRightInd w:val="0"/>
              <w:rPr>
                <w:rFonts w:ascii="Garamond" w:eastAsiaTheme="minorHAnsi" w:hAnsi="Garamond"/>
              </w:rPr>
            </w:pPr>
            <w:r w:rsidRPr="002A33F2">
              <w:rPr>
                <w:rFonts w:ascii="Garamond" w:eastAsiaTheme="minorHAnsi" w:hAnsi="Garamond"/>
              </w:rPr>
              <w:t>requirements laid down in paragraphs 1 and 2 to various situations, in particular to:</w:t>
            </w:r>
          </w:p>
          <w:p w:rsidR="0026064D" w:rsidRPr="002A33F2" w:rsidRDefault="0026064D" w:rsidP="003A393A">
            <w:pPr>
              <w:autoSpaceDE w:val="0"/>
              <w:autoSpaceDN w:val="0"/>
              <w:adjustRightInd w:val="0"/>
              <w:rPr>
                <w:rFonts w:ascii="Garamond" w:eastAsiaTheme="minorHAnsi" w:hAnsi="Garamond"/>
              </w:rPr>
            </w:pPr>
            <w:r w:rsidRPr="002A33F2">
              <w:rPr>
                <w:rFonts w:ascii="Garamond" w:eastAsiaTheme="minorHAnsi" w:hAnsi="Garamond"/>
              </w:rPr>
              <w:t>(a) prevent any unauthorized access to personal data;</w:t>
            </w:r>
          </w:p>
          <w:p w:rsidR="0026064D" w:rsidRPr="002A33F2" w:rsidRDefault="0026064D" w:rsidP="003A393A">
            <w:pPr>
              <w:autoSpaceDE w:val="0"/>
              <w:autoSpaceDN w:val="0"/>
              <w:adjustRightInd w:val="0"/>
              <w:rPr>
                <w:rFonts w:ascii="Garamond" w:eastAsiaTheme="minorHAnsi" w:hAnsi="Garamond"/>
              </w:rPr>
            </w:pPr>
            <w:r w:rsidRPr="002A33F2">
              <w:rPr>
                <w:rFonts w:ascii="Garamond" w:eastAsiaTheme="minorHAnsi" w:hAnsi="Garamond"/>
              </w:rPr>
              <w:t>(b) prevent any unauthorized disclosure, reading, copying, modification, erasure or</w:t>
            </w:r>
          </w:p>
          <w:p w:rsidR="0026064D" w:rsidRPr="002A33F2" w:rsidRDefault="0026064D" w:rsidP="003A393A">
            <w:pPr>
              <w:autoSpaceDE w:val="0"/>
              <w:autoSpaceDN w:val="0"/>
              <w:adjustRightInd w:val="0"/>
              <w:rPr>
                <w:rFonts w:ascii="Garamond" w:eastAsiaTheme="minorHAnsi" w:hAnsi="Garamond"/>
              </w:rPr>
            </w:pPr>
            <w:r w:rsidRPr="002A33F2">
              <w:rPr>
                <w:rFonts w:ascii="Garamond" w:eastAsiaTheme="minorHAnsi" w:hAnsi="Garamond"/>
              </w:rPr>
              <w:t>removal of personal data;</w:t>
            </w:r>
          </w:p>
          <w:p w:rsidR="0026064D" w:rsidRPr="002A33F2" w:rsidRDefault="0026064D" w:rsidP="003A393A">
            <w:pPr>
              <w:autoSpaceDE w:val="0"/>
              <w:autoSpaceDN w:val="0"/>
              <w:adjustRightInd w:val="0"/>
              <w:rPr>
                <w:rFonts w:ascii="Garamond" w:eastAsiaTheme="minorHAnsi" w:hAnsi="Garamond"/>
              </w:rPr>
            </w:pPr>
            <w:r w:rsidRPr="002A33F2">
              <w:rPr>
                <w:rFonts w:ascii="Garamond" w:eastAsiaTheme="minorHAnsi" w:hAnsi="Garamond"/>
              </w:rPr>
              <w:t xml:space="preserve">(c) </w:t>
            </w:r>
            <w:proofErr w:type="gramStart"/>
            <w:r w:rsidRPr="002A33F2">
              <w:rPr>
                <w:rFonts w:ascii="Garamond" w:eastAsiaTheme="minorHAnsi" w:hAnsi="Garamond"/>
              </w:rPr>
              <w:t>ensure</w:t>
            </w:r>
            <w:proofErr w:type="gramEnd"/>
            <w:r w:rsidRPr="002A33F2">
              <w:rPr>
                <w:rFonts w:ascii="Garamond" w:eastAsiaTheme="minorHAnsi" w:hAnsi="Garamond"/>
              </w:rPr>
              <w:t xml:space="preserve"> the verification of the lawfulness of processing operations.</w:t>
            </w:r>
          </w:p>
          <w:p w:rsidR="0026064D" w:rsidRPr="002A33F2" w:rsidRDefault="0026064D" w:rsidP="003A393A">
            <w:pPr>
              <w:autoSpaceDE w:val="0"/>
              <w:autoSpaceDN w:val="0"/>
              <w:adjustRightInd w:val="0"/>
              <w:rPr>
                <w:rFonts w:ascii="Garamond" w:eastAsiaTheme="minorHAnsi" w:hAnsi="Garamond"/>
              </w:rPr>
            </w:pPr>
            <w:r w:rsidRPr="002A33F2">
              <w:rPr>
                <w:rFonts w:ascii="Garamond" w:eastAsiaTheme="minorHAnsi" w:hAnsi="Garamond"/>
              </w:rPr>
              <w:t>Those implementing acts shall be adopted in accordance with the examination</w:t>
            </w:r>
          </w:p>
          <w:p w:rsidR="0026064D" w:rsidRPr="002A33F2" w:rsidRDefault="0026064D" w:rsidP="003A393A">
            <w:pPr>
              <w:overflowPunct/>
              <w:autoSpaceDE w:val="0"/>
              <w:autoSpaceDN w:val="0"/>
              <w:adjustRightInd w:val="0"/>
              <w:rPr>
                <w:rFonts w:ascii="Garamond" w:eastAsia="Calibri" w:hAnsi="Garamond" w:cs="Calibri"/>
                <w:iCs/>
                <w:lang w:eastAsia="en-US"/>
              </w:rPr>
            </w:pPr>
            <w:proofErr w:type="gramStart"/>
            <w:r w:rsidRPr="002A33F2">
              <w:rPr>
                <w:rFonts w:ascii="Garamond" w:eastAsiaTheme="minorHAnsi" w:hAnsi="Garamond"/>
              </w:rPr>
              <w:t>procedure</w:t>
            </w:r>
            <w:proofErr w:type="gramEnd"/>
            <w:r w:rsidRPr="002A33F2">
              <w:rPr>
                <w:rFonts w:ascii="Garamond" w:eastAsiaTheme="minorHAnsi" w:hAnsi="Garamond"/>
              </w:rPr>
              <w:t xml:space="preserve"> referred to in Article 87(2).</w:t>
            </w:r>
          </w:p>
        </w:tc>
        <w:tc>
          <w:tcPr>
            <w:tcW w:w="4811" w:type="dxa"/>
          </w:tcPr>
          <w:p w:rsidR="00B676C7" w:rsidRPr="002A33F2" w:rsidRDefault="00B676C7"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
                <w:iCs/>
                <w:lang w:eastAsia="en-US"/>
              </w:rPr>
            </w:pPr>
            <w:r>
              <w:rPr>
                <w:rFonts w:ascii="Garamond" w:eastAsia="Calibri" w:hAnsi="Garamond" w:cs="Calibri"/>
                <w:b/>
                <w:i/>
                <w:iCs/>
                <w:sz w:val="22"/>
                <w:szCs w:val="22"/>
                <w:lang w:eastAsia="en-US"/>
              </w:rPr>
              <w:t>D</w:t>
            </w:r>
            <w:r w:rsidRPr="002A33F2">
              <w:rPr>
                <w:rFonts w:ascii="Garamond" w:eastAsia="Calibri" w:hAnsi="Garamond" w:cs="Calibri"/>
                <w:b/>
                <w:i/>
                <w:iCs/>
                <w:sz w:val="22"/>
                <w:szCs w:val="22"/>
                <w:lang w:eastAsia="en-US"/>
              </w:rPr>
              <w:t>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2A33F2" w:rsidRDefault="0026064D" w:rsidP="003A393A">
            <w:pPr>
              <w:rPr>
                <w:rFonts w:ascii="Garamond" w:eastAsia="Calibri" w:hAnsi="Garamond" w:cs="Tahoma"/>
                <w:i/>
                <w:lang w:eastAsia="en-US"/>
              </w:rPr>
            </w:pPr>
            <w:r w:rsidRPr="002A33F2">
              <w:rPr>
                <w:rFonts w:ascii="Garamond" w:hAnsi="Garamond"/>
              </w:rPr>
              <w:t>Provisions on security processing are very detailed and self-explanatory. Any subsequent specifications introduced by delegated acts would only add legal uncertainty and complexity which are against the very core objective of simplification and effectiveness that this new regulation aims at achieving. Furthermore, adoption of subsequent delegated acts related to ‘state of the art’ of technology and related to privacy  by design and data protection by default could alter the technology neutrality principle which lies at the very core of the EU decision making-process and as such adoption of subsequent delegated acts should be refrained</w:t>
            </w:r>
          </w:p>
        </w:tc>
      </w:tr>
    </w:tbl>
    <w:p w:rsidR="0026064D" w:rsidRDefault="0026064D" w:rsidP="0026064D">
      <w:pPr>
        <w:rPr>
          <w:rFonts w:ascii="Garamond" w:hAnsi="Garamond"/>
          <w:i/>
        </w:rPr>
      </w:pPr>
    </w:p>
    <w:p w:rsidR="00A02E36" w:rsidRPr="002A33F2" w:rsidRDefault="00A02E36" w:rsidP="0026064D">
      <w:pPr>
        <w:rPr>
          <w:rFonts w:ascii="Garamond" w:hAnsi="Garamond"/>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26064D" w:rsidRPr="002A33F2" w:rsidTr="003A393A">
        <w:tc>
          <w:tcPr>
            <w:tcW w:w="9622" w:type="dxa"/>
            <w:gridSpan w:val="2"/>
            <w:shd w:val="clear" w:color="auto" w:fill="DDD9C3"/>
          </w:tcPr>
          <w:p w:rsidR="0026064D" w:rsidRPr="002A33F2" w:rsidRDefault="0026064D" w:rsidP="003A393A">
            <w:pPr>
              <w:autoSpaceDE w:val="0"/>
              <w:autoSpaceDN w:val="0"/>
              <w:adjustRightInd w:val="0"/>
              <w:jc w:val="center"/>
              <w:rPr>
                <w:rFonts w:ascii="Garamond" w:hAnsi="Garamond"/>
                <w:b/>
              </w:rPr>
            </w:pPr>
            <w:r w:rsidRPr="002A33F2">
              <w:rPr>
                <w:rFonts w:ascii="Garamond" w:hAnsi="Garamond"/>
                <w:b/>
              </w:rPr>
              <w:t>Article 31</w:t>
            </w:r>
          </w:p>
          <w:p w:rsidR="0026064D" w:rsidRDefault="0026064D" w:rsidP="003A393A">
            <w:pPr>
              <w:autoSpaceDE w:val="0"/>
              <w:autoSpaceDN w:val="0"/>
              <w:adjustRightInd w:val="0"/>
              <w:jc w:val="center"/>
              <w:rPr>
                <w:rFonts w:ascii="Garamond" w:hAnsi="Garamond"/>
                <w:b/>
              </w:rPr>
            </w:pPr>
            <w:r w:rsidRPr="002A33F2">
              <w:rPr>
                <w:rFonts w:ascii="Garamond" w:hAnsi="Garamond"/>
                <w:b/>
              </w:rPr>
              <w:t>Notification of a personal data breach to the supervisory authority</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C62F5C" w:rsidRPr="00C62F5C" w:rsidRDefault="00C62F5C" w:rsidP="00C62F5C">
            <w:pPr>
              <w:autoSpaceDE w:val="0"/>
              <w:autoSpaceDN w:val="0"/>
              <w:adjustRightInd w:val="0"/>
              <w:rPr>
                <w:rFonts w:ascii="Garamond" w:hAnsi="Garamond" w:cs="TimesNewRoman"/>
              </w:rPr>
            </w:pPr>
            <w:r w:rsidRPr="00C62F5C">
              <w:rPr>
                <w:rFonts w:ascii="Garamond" w:hAnsi="Garamond" w:cs="TimesNewRoman"/>
              </w:rPr>
              <w:t>5. The Commission shall be empowered to adopt delegated acts in accordance with Article 86 for the purpose of further specifying the criteria and requirements for establishing the data breach referred to in paragraphs 1 and 2 and for the particular circumstances in which a controller and a processor is required to notify the personal data breach.</w:t>
            </w:r>
          </w:p>
          <w:p w:rsidR="00C62F5C" w:rsidRDefault="00C62F5C" w:rsidP="00B676C7">
            <w:pPr>
              <w:rPr>
                <w:rFonts w:ascii="Garamond" w:hAnsi="Garamond"/>
              </w:rPr>
            </w:pPr>
          </w:p>
          <w:p w:rsidR="00C62F5C" w:rsidRPr="003A393A" w:rsidRDefault="00C62F5C" w:rsidP="00C62F5C">
            <w:pPr>
              <w:autoSpaceDE w:val="0"/>
              <w:autoSpaceDN w:val="0"/>
              <w:adjustRightInd w:val="0"/>
              <w:rPr>
                <w:rFonts w:ascii="Garamond" w:hAnsi="Garamond" w:cs="TimesNewRoman"/>
              </w:rPr>
            </w:pPr>
            <w:r w:rsidRPr="003A393A">
              <w:rPr>
                <w:rFonts w:ascii="Garamond" w:hAnsi="Garamond" w:cs="TimesNewRoman"/>
              </w:rPr>
              <w:t>6. The Commission may lay down the standard format of such notification to the supervisory authority, the procedures applicable to the notification requirement and the form and the modalities for the documentation referred to in paragraph 4, including the time limits for erasure of the information contained therein. Those implementing acts shall be adopted in accordance with the examination procedure</w:t>
            </w:r>
          </w:p>
          <w:p w:rsidR="00C62F5C" w:rsidRPr="003A393A" w:rsidRDefault="00C62F5C" w:rsidP="00C62F5C">
            <w:pPr>
              <w:autoSpaceDE w:val="0"/>
              <w:autoSpaceDN w:val="0"/>
              <w:adjustRightInd w:val="0"/>
              <w:rPr>
                <w:rFonts w:ascii="Garamond" w:hAnsi="Garamond" w:cs="TimesNewRoman"/>
              </w:rPr>
            </w:pPr>
            <w:proofErr w:type="gramStart"/>
            <w:r w:rsidRPr="003A393A">
              <w:rPr>
                <w:rFonts w:ascii="Garamond" w:hAnsi="Garamond" w:cs="TimesNewRoman"/>
              </w:rPr>
              <w:t>referred</w:t>
            </w:r>
            <w:proofErr w:type="gramEnd"/>
            <w:r w:rsidRPr="003A393A">
              <w:rPr>
                <w:rFonts w:ascii="Garamond" w:hAnsi="Garamond" w:cs="TimesNewRoman"/>
              </w:rPr>
              <w:t xml:space="preserve"> to in Article 87(2).</w:t>
            </w:r>
          </w:p>
          <w:p w:rsidR="0026064D" w:rsidRPr="00C62F5C" w:rsidRDefault="00C62F5C" w:rsidP="00C62F5C">
            <w:pPr>
              <w:overflowPunct/>
              <w:autoSpaceDE w:val="0"/>
              <w:autoSpaceDN w:val="0"/>
              <w:adjustRightInd w:val="0"/>
              <w:rPr>
                <w:rFonts w:ascii="Garamond" w:eastAsia="Calibri" w:hAnsi="Garamond" w:cs="Calibri"/>
                <w:iCs/>
                <w:lang w:eastAsia="en-US"/>
              </w:rPr>
            </w:pPr>
            <w:r w:rsidRPr="002A33F2">
              <w:rPr>
                <w:rFonts w:ascii="Garamond" w:eastAsia="Calibri" w:hAnsi="Garamond" w:cs="Calibri"/>
                <w:iCs/>
                <w:sz w:val="22"/>
                <w:szCs w:val="22"/>
                <w:lang w:eastAsia="en-US"/>
              </w:rPr>
              <w:t xml:space="preserve"> […]</w:t>
            </w: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Default="0026064D" w:rsidP="003A393A">
            <w:pPr>
              <w:overflowPunct/>
              <w:autoSpaceDE w:val="0"/>
              <w:autoSpaceDN w:val="0"/>
              <w:adjustRightInd w:val="0"/>
              <w:rPr>
                <w:rFonts w:ascii="Garamond" w:eastAsia="Calibri" w:hAnsi="Garamond" w:cs="Calibri"/>
                <w:b/>
                <w:i/>
                <w:iCs/>
                <w:lang w:eastAsia="en-US"/>
              </w:rPr>
            </w:pPr>
            <w:r>
              <w:rPr>
                <w:rFonts w:ascii="Garamond" w:eastAsia="Calibri" w:hAnsi="Garamond" w:cs="Calibri"/>
                <w:b/>
                <w:i/>
                <w:iCs/>
                <w:sz w:val="22"/>
                <w:szCs w:val="22"/>
                <w:lang w:eastAsia="en-US"/>
              </w:rPr>
              <w:t>D</w:t>
            </w:r>
            <w:r w:rsidRPr="002A33F2">
              <w:rPr>
                <w:rFonts w:ascii="Garamond" w:eastAsia="Calibri" w:hAnsi="Garamond" w:cs="Calibri"/>
                <w:b/>
                <w:i/>
                <w:iCs/>
                <w:sz w:val="22"/>
                <w:szCs w:val="22"/>
                <w:lang w:eastAsia="en-US"/>
              </w:rPr>
              <w:t>elete</w:t>
            </w:r>
          </w:p>
          <w:p w:rsidR="00410B44" w:rsidRDefault="00410B44" w:rsidP="003A393A">
            <w:pPr>
              <w:overflowPunct/>
              <w:autoSpaceDE w:val="0"/>
              <w:autoSpaceDN w:val="0"/>
              <w:adjustRightInd w:val="0"/>
              <w:rPr>
                <w:rFonts w:ascii="Garamond" w:eastAsia="Calibri" w:hAnsi="Garamond" w:cs="Calibri"/>
                <w:b/>
                <w:i/>
                <w:iCs/>
                <w:lang w:eastAsia="en-US"/>
              </w:rPr>
            </w:pPr>
          </w:p>
          <w:p w:rsidR="00410B44" w:rsidRDefault="00410B44" w:rsidP="003A393A">
            <w:pPr>
              <w:overflowPunct/>
              <w:autoSpaceDE w:val="0"/>
              <w:autoSpaceDN w:val="0"/>
              <w:adjustRightInd w:val="0"/>
              <w:rPr>
                <w:rFonts w:ascii="Garamond" w:eastAsia="Calibri" w:hAnsi="Garamond" w:cs="Calibri"/>
                <w:b/>
                <w:i/>
                <w:iCs/>
                <w:lang w:eastAsia="en-US"/>
              </w:rPr>
            </w:pPr>
          </w:p>
          <w:p w:rsidR="00410B44" w:rsidRDefault="00410B44" w:rsidP="003A393A">
            <w:pPr>
              <w:overflowPunct/>
              <w:autoSpaceDE w:val="0"/>
              <w:autoSpaceDN w:val="0"/>
              <w:adjustRightInd w:val="0"/>
              <w:rPr>
                <w:rFonts w:ascii="Garamond" w:eastAsia="Calibri" w:hAnsi="Garamond" w:cs="Calibri"/>
                <w:b/>
                <w:i/>
                <w:iCs/>
                <w:lang w:eastAsia="en-US"/>
              </w:rPr>
            </w:pPr>
          </w:p>
          <w:p w:rsidR="00410B44" w:rsidRDefault="00410B44" w:rsidP="003A393A">
            <w:pPr>
              <w:overflowPunct/>
              <w:autoSpaceDE w:val="0"/>
              <w:autoSpaceDN w:val="0"/>
              <w:adjustRightInd w:val="0"/>
              <w:rPr>
                <w:rFonts w:ascii="Garamond" w:eastAsia="Calibri" w:hAnsi="Garamond" w:cs="Calibri"/>
                <w:b/>
                <w:i/>
                <w:iCs/>
                <w:lang w:eastAsia="en-US"/>
              </w:rPr>
            </w:pPr>
          </w:p>
          <w:p w:rsidR="00410B44" w:rsidRDefault="00410B44" w:rsidP="003A393A">
            <w:pPr>
              <w:overflowPunct/>
              <w:autoSpaceDE w:val="0"/>
              <w:autoSpaceDN w:val="0"/>
              <w:adjustRightInd w:val="0"/>
              <w:rPr>
                <w:rFonts w:ascii="Garamond" w:eastAsia="Calibri" w:hAnsi="Garamond" w:cs="Calibri"/>
                <w:b/>
                <w:i/>
                <w:iCs/>
                <w:lang w:eastAsia="en-US"/>
              </w:rPr>
            </w:pPr>
          </w:p>
          <w:p w:rsidR="00410B44" w:rsidRDefault="00410B44" w:rsidP="003A393A">
            <w:pPr>
              <w:overflowPunct/>
              <w:autoSpaceDE w:val="0"/>
              <w:autoSpaceDN w:val="0"/>
              <w:adjustRightInd w:val="0"/>
              <w:rPr>
                <w:rFonts w:ascii="Garamond" w:eastAsia="Calibri" w:hAnsi="Garamond" w:cs="Calibri"/>
                <w:b/>
                <w:i/>
                <w:iCs/>
                <w:lang w:eastAsia="en-US"/>
              </w:rPr>
            </w:pPr>
          </w:p>
          <w:p w:rsidR="00410B44" w:rsidRDefault="00410B44" w:rsidP="003A393A">
            <w:pPr>
              <w:overflowPunct/>
              <w:autoSpaceDE w:val="0"/>
              <w:autoSpaceDN w:val="0"/>
              <w:adjustRightInd w:val="0"/>
              <w:rPr>
                <w:rFonts w:ascii="Garamond" w:eastAsia="Calibri" w:hAnsi="Garamond" w:cs="Calibri"/>
                <w:b/>
                <w:i/>
                <w:iCs/>
                <w:lang w:eastAsia="en-US"/>
              </w:rPr>
            </w:pPr>
          </w:p>
          <w:p w:rsidR="00410B44" w:rsidRPr="003A393A" w:rsidRDefault="00410B44" w:rsidP="00410B44">
            <w:pPr>
              <w:autoSpaceDE w:val="0"/>
              <w:autoSpaceDN w:val="0"/>
              <w:adjustRightInd w:val="0"/>
              <w:rPr>
                <w:rFonts w:ascii="Garamond" w:hAnsi="Garamond" w:cs="TimesNewRoman"/>
              </w:rPr>
            </w:pPr>
            <w:r w:rsidRPr="003A393A">
              <w:rPr>
                <w:rFonts w:ascii="Garamond" w:hAnsi="Garamond" w:cs="TimesNewRoman"/>
              </w:rPr>
              <w:t xml:space="preserve">6. The Commission may lay down the standard format of such notification to the supervisory authority, </w:t>
            </w:r>
            <w:r w:rsidRPr="00410B44">
              <w:rPr>
                <w:rFonts w:ascii="Garamond" w:hAnsi="Garamond" w:cs="TimesNewRoman"/>
                <w:b/>
              </w:rPr>
              <w:t>and</w:t>
            </w:r>
            <w:r>
              <w:rPr>
                <w:rFonts w:ascii="Garamond" w:hAnsi="Garamond" w:cs="TimesNewRoman"/>
              </w:rPr>
              <w:t xml:space="preserve"> </w:t>
            </w:r>
            <w:r w:rsidRPr="003A393A">
              <w:rPr>
                <w:rFonts w:ascii="Garamond" w:hAnsi="Garamond" w:cs="TimesNewRoman"/>
              </w:rPr>
              <w:t xml:space="preserve">the procedures applicable to the </w:t>
            </w:r>
            <w:r w:rsidR="009C61DB" w:rsidRPr="009C61DB">
              <w:rPr>
                <w:rFonts w:ascii="Garamond" w:hAnsi="Garamond" w:cs="TimesNewRoman"/>
                <w:b/>
              </w:rPr>
              <w:t>filing of reports</w:t>
            </w:r>
            <w:r w:rsidR="009C61DB">
              <w:rPr>
                <w:rFonts w:ascii="Garamond" w:hAnsi="Garamond" w:cs="TimesNewRoman"/>
              </w:rPr>
              <w:t xml:space="preserve"> </w:t>
            </w:r>
            <w:r w:rsidRPr="009C61DB">
              <w:rPr>
                <w:rFonts w:ascii="Garamond" w:hAnsi="Garamond" w:cs="TimesNewRoman"/>
                <w:strike/>
              </w:rPr>
              <w:t>notification requirement and the form and the modalities for the documentation referred to in paragraph 4, including the time limits for erasure of the information contained therein.</w:t>
            </w:r>
            <w:r w:rsidRPr="003A393A">
              <w:rPr>
                <w:rFonts w:ascii="Garamond" w:hAnsi="Garamond" w:cs="TimesNewRoman"/>
              </w:rPr>
              <w:t xml:space="preserve"> Those implementing acts shall be adopted in accordance with the examination procedure</w:t>
            </w:r>
          </w:p>
          <w:p w:rsidR="00410B44" w:rsidRPr="003A393A" w:rsidRDefault="00410B44" w:rsidP="00410B44">
            <w:pPr>
              <w:autoSpaceDE w:val="0"/>
              <w:autoSpaceDN w:val="0"/>
              <w:adjustRightInd w:val="0"/>
              <w:rPr>
                <w:rFonts w:ascii="Garamond" w:hAnsi="Garamond" w:cs="TimesNewRoman"/>
              </w:rPr>
            </w:pPr>
            <w:proofErr w:type="gramStart"/>
            <w:r w:rsidRPr="003A393A">
              <w:rPr>
                <w:rFonts w:ascii="Garamond" w:hAnsi="Garamond" w:cs="TimesNewRoman"/>
              </w:rPr>
              <w:t>referred</w:t>
            </w:r>
            <w:proofErr w:type="gramEnd"/>
            <w:r w:rsidRPr="003A393A">
              <w:rPr>
                <w:rFonts w:ascii="Garamond" w:hAnsi="Garamond" w:cs="TimesNewRoman"/>
              </w:rPr>
              <w:t xml:space="preserve"> to in Article 87(2).</w:t>
            </w:r>
          </w:p>
          <w:p w:rsidR="00410B44" w:rsidRPr="009C61DB" w:rsidRDefault="00410B44" w:rsidP="003A393A">
            <w:pPr>
              <w:overflowPunct/>
              <w:autoSpaceDE w:val="0"/>
              <w:autoSpaceDN w:val="0"/>
              <w:adjustRightInd w:val="0"/>
              <w:rPr>
                <w:rFonts w:ascii="Garamond" w:eastAsia="Calibri" w:hAnsi="Garamond" w:cs="Calibri"/>
                <w:b/>
                <w:i/>
                <w:iCs/>
                <w:lang w:eastAsia="en-US"/>
              </w:rPr>
            </w:pPr>
            <w:r w:rsidRPr="002A33F2">
              <w:rPr>
                <w:rFonts w:ascii="Garamond" w:eastAsia="Calibri" w:hAnsi="Garamond" w:cs="Calibri"/>
                <w:iCs/>
                <w:sz w:val="22"/>
                <w:szCs w:val="22"/>
                <w:lang w:eastAsia="en-US"/>
              </w:rPr>
              <w:t xml:space="preserve"> […]</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2A33F2" w:rsidRDefault="0026064D" w:rsidP="003A393A">
            <w:pPr>
              <w:rPr>
                <w:rFonts w:ascii="Garamond" w:eastAsia="Calibri" w:hAnsi="Garamond" w:cs="Tahoma"/>
                <w:i/>
                <w:lang w:eastAsia="en-US"/>
              </w:rPr>
            </w:pPr>
            <w:r w:rsidRPr="002A33F2">
              <w:rPr>
                <w:rFonts w:ascii="Garamond" w:hAnsi="Garamond"/>
              </w:rPr>
              <w:t>Provisions on security notification are detailed and self-explanatory. Any subsequent specifications introduced by delegated acts would only add legal uncertainty and complexity which are against the very core objectives of simplification and effectiveness that this new regulation aims at achieving.</w:t>
            </w:r>
          </w:p>
        </w:tc>
      </w:tr>
    </w:tbl>
    <w:p w:rsidR="0026064D" w:rsidRPr="002A33F2" w:rsidRDefault="0026064D" w:rsidP="0026064D">
      <w:pPr>
        <w:rPr>
          <w:rFonts w:ascii="Garamond" w:hAnsi="Garamond"/>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26064D" w:rsidRPr="002A33F2" w:rsidTr="003A393A">
        <w:tc>
          <w:tcPr>
            <w:tcW w:w="9622" w:type="dxa"/>
            <w:gridSpan w:val="2"/>
            <w:shd w:val="clear" w:color="auto" w:fill="DDD9C3"/>
          </w:tcPr>
          <w:p w:rsidR="0026064D" w:rsidRPr="002A33F2" w:rsidRDefault="0026064D" w:rsidP="003A393A">
            <w:pPr>
              <w:autoSpaceDE w:val="0"/>
              <w:autoSpaceDN w:val="0"/>
              <w:adjustRightInd w:val="0"/>
              <w:jc w:val="center"/>
              <w:rPr>
                <w:rFonts w:ascii="Garamond" w:hAnsi="Garamond"/>
                <w:b/>
              </w:rPr>
            </w:pPr>
            <w:r w:rsidRPr="002A33F2">
              <w:rPr>
                <w:rFonts w:ascii="Garamond" w:hAnsi="Garamond"/>
                <w:b/>
              </w:rPr>
              <w:t>Article 32</w:t>
            </w:r>
          </w:p>
          <w:p w:rsidR="0026064D" w:rsidRDefault="0026064D" w:rsidP="003A393A">
            <w:pPr>
              <w:autoSpaceDE w:val="0"/>
              <w:autoSpaceDN w:val="0"/>
              <w:adjustRightInd w:val="0"/>
              <w:jc w:val="center"/>
              <w:rPr>
                <w:rFonts w:ascii="Garamond" w:hAnsi="Garamond"/>
                <w:b/>
              </w:rPr>
            </w:pPr>
            <w:r w:rsidRPr="002A33F2">
              <w:rPr>
                <w:rFonts w:ascii="Garamond" w:hAnsi="Garamond"/>
                <w:b/>
              </w:rPr>
              <w:t>Notification of a personal data breach to the data subject</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B676C7" w:rsidRDefault="0026064D" w:rsidP="00B676C7">
            <w:pPr>
              <w:autoSpaceDE w:val="0"/>
              <w:autoSpaceDN w:val="0"/>
              <w:adjustRightInd w:val="0"/>
              <w:rPr>
                <w:rFonts w:ascii="Garamond" w:hAnsi="Garamond" w:cs="TimesNewRoman"/>
                <w:strike/>
              </w:rPr>
            </w:pPr>
            <w:r w:rsidRPr="002A33F2">
              <w:rPr>
                <w:rFonts w:ascii="Garamond" w:hAnsi="Garamond"/>
              </w:rPr>
              <w:t xml:space="preserve">5. </w:t>
            </w:r>
            <w:r w:rsidRPr="002A33F2">
              <w:rPr>
                <w:rFonts w:ascii="Garamond" w:hAnsi="Garamond" w:cs="TimesNewRoman"/>
                <w:sz w:val="22"/>
                <w:szCs w:val="22"/>
              </w:rPr>
              <w:t>The Commission shall be empowered to adopt delegated acts in accordance with Article 86 for the purpose of further specifying the criteria and requirements as to the circumstances in which a personal data breach is likely to adversely affect the personal data referred to in paragraph 1.</w:t>
            </w: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
                <w:iCs/>
                <w:lang w:eastAsia="en-US"/>
              </w:rPr>
            </w:pPr>
            <w:r w:rsidRPr="002A33F2">
              <w:rPr>
                <w:rFonts w:ascii="Garamond" w:eastAsia="Calibri" w:hAnsi="Garamond" w:cs="Calibri"/>
                <w:b/>
                <w:i/>
                <w:iCs/>
                <w:sz w:val="22"/>
                <w:szCs w:val="22"/>
                <w:lang w:eastAsia="en-US"/>
              </w:rPr>
              <w:t>Delete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2A33F2" w:rsidRDefault="0026064D" w:rsidP="003A393A">
            <w:pPr>
              <w:rPr>
                <w:rFonts w:ascii="Garamond" w:eastAsia="Calibri" w:hAnsi="Garamond" w:cs="Tahoma"/>
                <w:i/>
                <w:lang w:eastAsia="en-US"/>
              </w:rPr>
            </w:pPr>
            <w:r w:rsidRPr="002A33F2">
              <w:rPr>
                <w:rFonts w:ascii="Garamond" w:hAnsi="Garamond"/>
              </w:rPr>
              <w:t>Provisions on security notification are detailed and self-explanatory. Any subsequent specifications introduced by delegated acts would only add legal uncertainty and complexity which are against the very core objectives of simplification and effectiveness that this new regulation aims at achieving.</w:t>
            </w:r>
          </w:p>
        </w:tc>
      </w:tr>
    </w:tbl>
    <w:p w:rsidR="0026064D" w:rsidRPr="002A33F2" w:rsidRDefault="0026064D" w:rsidP="0026064D">
      <w:pPr>
        <w:rPr>
          <w:rFonts w:ascii="Garamond" w:hAnsi="Garamond"/>
          <w:b/>
          <w:color w:val="1F497D" w:themeColor="text2"/>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26064D" w:rsidRPr="002A33F2" w:rsidTr="003A393A">
        <w:tc>
          <w:tcPr>
            <w:tcW w:w="9622" w:type="dxa"/>
            <w:gridSpan w:val="2"/>
            <w:shd w:val="clear" w:color="auto" w:fill="DDD9C3"/>
          </w:tcPr>
          <w:p w:rsidR="0026064D" w:rsidRPr="002A33F2"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Article 33</w:t>
            </w:r>
          </w:p>
          <w:p w:rsidR="0026064D"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 xml:space="preserve">Data Protection Impact Assessment </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r w:rsidRPr="002A33F2">
              <w:rPr>
                <w:rFonts w:ascii="Garamond" w:hAnsi="Garamond"/>
              </w:rPr>
              <w:t>6. The Commission shall be empowered to adopt delegated acts in accordance with Article 86 for the purpose of further specifying the criteria and conditions for the processing operations likely to present specific risks referred to in paragraphs 1 and 2 and the requirements for the assessment referred to in paragraph 3, including conditions for scalability, verification and auditability. In doing so, the Commission shall consider specific measures for micro, small and medium-sized enterprises.</w:t>
            </w: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
                <w:iCs/>
                <w:lang w:eastAsia="en-US"/>
              </w:rPr>
            </w:pPr>
            <w:r>
              <w:rPr>
                <w:rFonts w:ascii="Garamond" w:eastAsia="Calibri" w:hAnsi="Garamond" w:cs="Calibri"/>
                <w:b/>
                <w:i/>
                <w:iCs/>
                <w:sz w:val="22"/>
                <w:szCs w:val="22"/>
                <w:lang w:eastAsia="en-US"/>
              </w:rPr>
              <w:t>D</w:t>
            </w:r>
            <w:r w:rsidRPr="002A33F2">
              <w:rPr>
                <w:rFonts w:ascii="Garamond" w:eastAsia="Calibri" w:hAnsi="Garamond" w:cs="Calibri"/>
                <w:b/>
                <w:i/>
                <w:iCs/>
                <w:sz w:val="22"/>
                <w:szCs w:val="22"/>
                <w:lang w:eastAsia="en-US"/>
              </w:rPr>
              <w:t>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2A33F2" w:rsidRDefault="0026064D" w:rsidP="003A393A">
            <w:pPr>
              <w:rPr>
                <w:rFonts w:ascii="Garamond" w:eastAsia="Calibri" w:hAnsi="Garamond" w:cs="Tahoma"/>
                <w:lang w:eastAsia="en-US"/>
              </w:rPr>
            </w:pPr>
            <w:r w:rsidRPr="002A33F2">
              <w:rPr>
                <w:rFonts w:ascii="Garamond" w:hAnsi="Garamond"/>
              </w:rPr>
              <w:t xml:space="preserve">Provisions related to impact assessment, which refers to a case by case situation, are very detailed and self explanatory. Subsequent measures via delegated acts could create legal uncertainty. </w:t>
            </w:r>
          </w:p>
        </w:tc>
      </w:tr>
    </w:tbl>
    <w:p w:rsidR="0026064D" w:rsidRDefault="0026064D" w:rsidP="0026064D">
      <w:pPr>
        <w:rPr>
          <w:rFonts w:ascii="Garamond" w:hAnsi="Garamond"/>
          <w:b/>
          <w:color w:val="1F497D" w:themeColor="text2"/>
          <w:sz w:val="28"/>
          <w:szCs w:val="28"/>
        </w:rPr>
      </w:pPr>
    </w:p>
    <w:p w:rsidR="00B676C7" w:rsidRPr="002A33F2" w:rsidRDefault="00B676C7" w:rsidP="0026064D">
      <w:pPr>
        <w:rPr>
          <w:rFonts w:ascii="Garamond" w:hAnsi="Garamond"/>
          <w:b/>
          <w:color w:val="1F497D" w:themeColor="text2"/>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26064D" w:rsidRPr="002A33F2" w:rsidTr="003A393A">
        <w:tc>
          <w:tcPr>
            <w:tcW w:w="9622" w:type="dxa"/>
            <w:gridSpan w:val="2"/>
            <w:shd w:val="clear" w:color="auto" w:fill="DDD9C3"/>
          </w:tcPr>
          <w:p w:rsidR="0026064D" w:rsidRPr="002A33F2" w:rsidRDefault="0026064D" w:rsidP="003A393A">
            <w:pPr>
              <w:autoSpaceDE w:val="0"/>
              <w:autoSpaceDN w:val="0"/>
              <w:adjustRightInd w:val="0"/>
              <w:jc w:val="center"/>
              <w:rPr>
                <w:rFonts w:ascii="Garamond" w:hAnsi="Garamond"/>
                <w:b/>
              </w:rPr>
            </w:pPr>
            <w:r w:rsidRPr="002A33F2">
              <w:rPr>
                <w:rFonts w:ascii="Garamond" w:hAnsi="Garamond"/>
                <w:b/>
              </w:rPr>
              <w:t>Article 34</w:t>
            </w:r>
          </w:p>
          <w:p w:rsidR="0026064D" w:rsidRDefault="0026064D" w:rsidP="003A393A">
            <w:pPr>
              <w:autoSpaceDE w:val="0"/>
              <w:autoSpaceDN w:val="0"/>
              <w:adjustRightInd w:val="0"/>
              <w:jc w:val="center"/>
              <w:rPr>
                <w:rFonts w:ascii="Garamond" w:hAnsi="Garamond"/>
                <w:b/>
              </w:rPr>
            </w:pPr>
            <w:r w:rsidRPr="002A33F2">
              <w:rPr>
                <w:rFonts w:ascii="Garamond" w:hAnsi="Garamond"/>
                <w:b/>
              </w:rPr>
              <w:t xml:space="preserve">Prior authorisation and prior consultation </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r w:rsidRPr="002A33F2">
              <w:rPr>
                <w:rFonts w:ascii="Garamond" w:hAnsi="Garamond"/>
              </w:rPr>
              <w:t>8. The Commission shall be empowered to adopt delegated acts in accordance with Article 86 for the purpose of further specifying the criteria and requirements for determining the high degree of specific risk referred to in point (a) of paragraph 2.</w:t>
            </w: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
                <w:iCs/>
                <w:lang w:eastAsia="en-US"/>
              </w:rPr>
            </w:pPr>
            <w:r>
              <w:rPr>
                <w:rFonts w:ascii="Garamond" w:eastAsia="Calibri" w:hAnsi="Garamond" w:cs="Calibri"/>
                <w:b/>
                <w:i/>
                <w:iCs/>
                <w:sz w:val="22"/>
                <w:szCs w:val="22"/>
                <w:lang w:eastAsia="en-US"/>
              </w:rPr>
              <w:t>D</w:t>
            </w:r>
            <w:r w:rsidRPr="002A33F2">
              <w:rPr>
                <w:rFonts w:ascii="Garamond" w:eastAsia="Calibri" w:hAnsi="Garamond" w:cs="Calibri"/>
                <w:b/>
                <w:i/>
                <w:iCs/>
                <w:sz w:val="22"/>
                <w:szCs w:val="22"/>
                <w:lang w:eastAsia="en-US"/>
              </w:rPr>
              <w:t>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2A33F2" w:rsidRDefault="0026064D" w:rsidP="003A393A">
            <w:pPr>
              <w:rPr>
                <w:rFonts w:ascii="Garamond" w:eastAsia="Calibri" w:hAnsi="Garamond" w:cs="Tahoma"/>
                <w:i/>
                <w:lang w:eastAsia="en-US"/>
              </w:rPr>
            </w:pPr>
            <w:r w:rsidRPr="002A33F2">
              <w:rPr>
                <w:rFonts w:ascii="Garamond" w:hAnsi="Garamond"/>
              </w:rPr>
              <w:t xml:space="preserve">Provisions related to impact assessment which refers to a case by case situation are very detailed and self explanatory and do not require subsequent measures via delegated acts which could create legal uncertainty. </w:t>
            </w:r>
          </w:p>
        </w:tc>
      </w:tr>
    </w:tbl>
    <w:p w:rsidR="0026064D" w:rsidRPr="002A33F2" w:rsidRDefault="0026064D" w:rsidP="0026064D">
      <w:pPr>
        <w:rPr>
          <w:rFonts w:ascii="Garamond" w:hAnsi="Garamond"/>
          <w:i/>
        </w:rPr>
      </w:pPr>
    </w:p>
    <w:p w:rsidR="0026064D" w:rsidRPr="002A33F2" w:rsidRDefault="0026064D" w:rsidP="0026064D">
      <w:pPr>
        <w:rPr>
          <w:rFonts w:ascii="Garamond" w:hAnsi="Garamond"/>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26064D" w:rsidRPr="002A33F2" w:rsidTr="003A393A">
        <w:tc>
          <w:tcPr>
            <w:tcW w:w="9622" w:type="dxa"/>
            <w:gridSpan w:val="2"/>
            <w:shd w:val="clear" w:color="auto" w:fill="DDD9C3"/>
          </w:tcPr>
          <w:p w:rsidR="0026064D" w:rsidRPr="002A33F2" w:rsidRDefault="0026064D" w:rsidP="003A393A">
            <w:pPr>
              <w:autoSpaceDE w:val="0"/>
              <w:autoSpaceDN w:val="0"/>
              <w:adjustRightInd w:val="0"/>
              <w:jc w:val="center"/>
              <w:rPr>
                <w:rFonts w:ascii="Garamond" w:hAnsi="Garamond"/>
                <w:b/>
              </w:rPr>
            </w:pPr>
            <w:r w:rsidRPr="002A33F2">
              <w:rPr>
                <w:rFonts w:ascii="Garamond" w:hAnsi="Garamond"/>
                <w:b/>
              </w:rPr>
              <w:t>Article 35</w:t>
            </w:r>
          </w:p>
          <w:p w:rsidR="0026064D" w:rsidRDefault="0026064D" w:rsidP="003A393A">
            <w:pPr>
              <w:autoSpaceDE w:val="0"/>
              <w:autoSpaceDN w:val="0"/>
              <w:adjustRightInd w:val="0"/>
              <w:jc w:val="center"/>
              <w:rPr>
                <w:rFonts w:ascii="Garamond" w:hAnsi="Garamond"/>
                <w:b/>
              </w:rPr>
            </w:pPr>
            <w:r w:rsidRPr="002A33F2">
              <w:rPr>
                <w:rFonts w:ascii="Garamond" w:hAnsi="Garamond"/>
                <w:b/>
              </w:rPr>
              <w:t>Designation of the data protection officer</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B676C7" w:rsidRDefault="0026064D" w:rsidP="00B676C7">
            <w:pPr>
              <w:rPr>
                <w:rFonts w:ascii="Garamond" w:hAnsi="Garamond"/>
              </w:rPr>
            </w:pPr>
            <w:r w:rsidRPr="002A33F2">
              <w:rPr>
                <w:rFonts w:ascii="Garamond" w:hAnsi="Garamond"/>
              </w:rPr>
              <w:t xml:space="preserve">     11. The Commission shall be empowered to adopt delegated acts in accordance with Article 86 for the purpose of further specifying the criteria and requirements for the core activities of the controller or the processor referred to in point (c) of paragraph 1 and the criteria for the professional qualities of the data protection officer referred to in paragraph 5.</w:t>
            </w: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
                <w:iCs/>
                <w:lang w:eastAsia="en-US"/>
              </w:rPr>
            </w:pPr>
            <w:r>
              <w:rPr>
                <w:rFonts w:ascii="Garamond" w:eastAsia="Calibri" w:hAnsi="Garamond" w:cs="Calibri"/>
                <w:b/>
                <w:i/>
                <w:iCs/>
                <w:sz w:val="22"/>
                <w:szCs w:val="22"/>
                <w:lang w:eastAsia="en-US"/>
              </w:rPr>
              <w:t>D</w:t>
            </w:r>
            <w:r w:rsidRPr="002A33F2">
              <w:rPr>
                <w:rFonts w:ascii="Garamond" w:eastAsia="Calibri" w:hAnsi="Garamond" w:cs="Calibri"/>
                <w:b/>
                <w:i/>
                <w:iCs/>
                <w:sz w:val="22"/>
                <w:szCs w:val="22"/>
                <w:lang w:eastAsia="en-US"/>
              </w:rPr>
              <w:t>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3C66CC" w:rsidRDefault="0026064D" w:rsidP="003A393A">
            <w:pPr>
              <w:rPr>
                <w:rFonts w:ascii="Garamond" w:hAnsi="Garamond"/>
              </w:rPr>
            </w:pPr>
            <w:r w:rsidRPr="002A33F2">
              <w:rPr>
                <w:rFonts w:ascii="Garamond" w:hAnsi="Garamond"/>
              </w:rPr>
              <w:t>Determination of a data protection officer and designation criteria are already very detailed. Adopting additional prescriptive measures via delegated acts would seriously contradict the fundamental principles of organisational, managerial independence, and contractual freedom of any enterprise which stand all at the very core of any market economy framework.</w:t>
            </w:r>
          </w:p>
        </w:tc>
      </w:tr>
    </w:tbl>
    <w:p w:rsidR="0026064D" w:rsidRDefault="0026064D" w:rsidP="0026064D">
      <w:pPr>
        <w:rPr>
          <w:rFonts w:ascii="Garamond" w:hAnsi="Garamond"/>
          <w:i/>
        </w:rPr>
      </w:pPr>
    </w:p>
    <w:p w:rsidR="009C61DB" w:rsidRPr="002A33F2" w:rsidRDefault="009C61DB" w:rsidP="0026064D">
      <w:pPr>
        <w:rPr>
          <w:rFonts w:ascii="Garamond" w:hAnsi="Garamond"/>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26064D" w:rsidRPr="002A33F2" w:rsidTr="003A393A">
        <w:tc>
          <w:tcPr>
            <w:tcW w:w="9622" w:type="dxa"/>
            <w:gridSpan w:val="2"/>
            <w:shd w:val="clear" w:color="auto" w:fill="DDD9C3"/>
          </w:tcPr>
          <w:p w:rsidR="0026064D" w:rsidRPr="002A33F2" w:rsidRDefault="0026064D" w:rsidP="003A393A">
            <w:pPr>
              <w:autoSpaceDE w:val="0"/>
              <w:autoSpaceDN w:val="0"/>
              <w:adjustRightInd w:val="0"/>
              <w:jc w:val="center"/>
              <w:rPr>
                <w:rFonts w:ascii="Garamond" w:hAnsi="Garamond"/>
                <w:b/>
              </w:rPr>
            </w:pPr>
            <w:r w:rsidRPr="002A33F2">
              <w:rPr>
                <w:rFonts w:ascii="Garamond" w:hAnsi="Garamond"/>
                <w:b/>
              </w:rPr>
              <w:t>Article 37</w:t>
            </w:r>
          </w:p>
          <w:p w:rsidR="0026064D" w:rsidRDefault="0026064D" w:rsidP="003A393A">
            <w:pPr>
              <w:autoSpaceDE w:val="0"/>
              <w:autoSpaceDN w:val="0"/>
              <w:adjustRightInd w:val="0"/>
              <w:jc w:val="center"/>
              <w:rPr>
                <w:rFonts w:ascii="Garamond" w:hAnsi="Garamond"/>
                <w:b/>
              </w:rPr>
            </w:pPr>
            <w:r w:rsidRPr="002A33F2">
              <w:rPr>
                <w:rFonts w:ascii="Garamond" w:hAnsi="Garamond"/>
                <w:b/>
              </w:rPr>
              <w:t>Tasks of the data protection officer</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r w:rsidRPr="002A33F2">
              <w:rPr>
                <w:rFonts w:ascii="Garamond" w:hAnsi="Garamond"/>
              </w:rPr>
              <w:t>2. The Commission shall be empowered to adopt delegated acts in accordance with Article 86 for the purpose of further specifying the criteria and requirements for tasks, certification, status, powers and resources of the data protection officer referred to in paragraph 1.</w:t>
            </w: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
                <w:iCs/>
                <w:lang w:eastAsia="en-US"/>
              </w:rPr>
            </w:pPr>
            <w:r>
              <w:rPr>
                <w:rFonts w:ascii="Garamond" w:eastAsia="Calibri" w:hAnsi="Garamond" w:cs="Calibri"/>
                <w:b/>
                <w:i/>
                <w:iCs/>
                <w:sz w:val="22"/>
                <w:szCs w:val="22"/>
                <w:lang w:eastAsia="en-US"/>
              </w:rPr>
              <w:t>D</w:t>
            </w:r>
            <w:r w:rsidRPr="002A33F2">
              <w:rPr>
                <w:rFonts w:ascii="Garamond" w:eastAsia="Calibri" w:hAnsi="Garamond" w:cs="Calibri"/>
                <w:b/>
                <w:i/>
                <w:iCs/>
                <w:sz w:val="22"/>
                <w:szCs w:val="22"/>
                <w:lang w:eastAsia="en-US"/>
              </w:rPr>
              <w:t>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3C66CC" w:rsidRDefault="0026064D" w:rsidP="003A393A">
            <w:pPr>
              <w:rPr>
                <w:rFonts w:ascii="Garamond" w:hAnsi="Garamond"/>
              </w:rPr>
            </w:pPr>
            <w:r w:rsidRPr="002A33F2">
              <w:rPr>
                <w:rFonts w:ascii="Garamond" w:hAnsi="Garamond"/>
              </w:rPr>
              <w:t>Determination of a data protection officer tasks is already very detailed. Adopting additional prescriptive measures via delegated acts would seriously contradict the fundamental principles of organisational, managerial independence, and contractual freedom of any enterprise and which are at the very core of any market economy framework.</w:t>
            </w:r>
          </w:p>
        </w:tc>
      </w:tr>
    </w:tbl>
    <w:p w:rsidR="0026064D" w:rsidRPr="002A33F2" w:rsidRDefault="0026064D" w:rsidP="0026064D">
      <w:pPr>
        <w:rPr>
          <w:rFonts w:ascii="Garamond" w:hAnsi="Garamond"/>
          <w:i/>
        </w:rPr>
      </w:pPr>
    </w:p>
    <w:p w:rsidR="0026064D" w:rsidRPr="002A33F2" w:rsidRDefault="0026064D" w:rsidP="0026064D">
      <w:pPr>
        <w:rPr>
          <w:rFonts w:ascii="Garamond" w:hAnsi="Garamond"/>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26064D" w:rsidRPr="002A33F2" w:rsidTr="003A393A">
        <w:tc>
          <w:tcPr>
            <w:tcW w:w="9622" w:type="dxa"/>
            <w:gridSpan w:val="2"/>
            <w:shd w:val="clear" w:color="auto" w:fill="DDD9C3"/>
          </w:tcPr>
          <w:p w:rsidR="0026064D" w:rsidRPr="002A33F2" w:rsidRDefault="0026064D" w:rsidP="003A393A">
            <w:pPr>
              <w:jc w:val="center"/>
              <w:rPr>
                <w:rFonts w:ascii="Garamond" w:hAnsi="Garamond"/>
                <w:b/>
              </w:rPr>
            </w:pPr>
            <w:r w:rsidRPr="002A33F2">
              <w:rPr>
                <w:rFonts w:ascii="Garamond" w:hAnsi="Garamond"/>
                <w:b/>
              </w:rPr>
              <w:t xml:space="preserve">Article 39 </w:t>
            </w:r>
          </w:p>
          <w:p w:rsidR="0026064D" w:rsidRPr="002A33F2" w:rsidRDefault="0026064D" w:rsidP="003A393A">
            <w:pPr>
              <w:jc w:val="center"/>
              <w:rPr>
                <w:rFonts w:ascii="Garamond" w:hAnsi="Garamond"/>
                <w:b/>
              </w:rPr>
            </w:pPr>
            <w:r w:rsidRPr="002A33F2">
              <w:rPr>
                <w:rFonts w:ascii="Garamond" w:hAnsi="Garamond"/>
                <w:b/>
              </w:rPr>
              <w:t>Certification</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2A33F2" w:rsidRDefault="0026064D" w:rsidP="003A393A">
            <w:pPr>
              <w:rPr>
                <w:rFonts w:ascii="Garamond" w:hAnsi="Garamond"/>
              </w:rPr>
            </w:pPr>
            <w:r w:rsidRPr="002A33F2">
              <w:rPr>
                <w:rFonts w:ascii="Garamond" w:hAnsi="Garamond"/>
              </w:rPr>
              <w:t xml:space="preserve">     2. The Commission shall be empowered to adopt delegated acts in accordance with Article 86 for the purpose of further specifying the criteria and requirements for the data protection certification mechanisms referred to in paragraph 1, including conditions for granting and withdrawal, and requirements for recognition within the Union and in third countries.</w:t>
            </w:r>
          </w:p>
          <w:p w:rsidR="0026064D" w:rsidRPr="002A33F2" w:rsidRDefault="0026064D" w:rsidP="003A393A">
            <w:pPr>
              <w:rPr>
                <w:rFonts w:ascii="Garamond" w:hAnsi="Garamond"/>
              </w:rPr>
            </w:pPr>
          </w:p>
          <w:p w:rsidR="0026064D" w:rsidRPr="002A33F2" w:rsidRDefault="0026064D" w:rsidP="003A393A">
            <w:pPr>
              <w:rPr>
                <w:rFonts w:ascii="Garamond" w:hAnsi="Garamond"/>
              </w:rPr>
            </w:pPr>
          </w:p>
        </w:tc>
        <w:tc>
          <w:tcPr>
            <w:tcW w:w="4811" w:type="dxa"/>
          </w:tcPr>
          <w:p w:rsidR="0026064D" w:rsidRPr="002A33F2" w:rsidRDefault="0026064D" w:rsidP="003A393A">
            <w:pPr>
              <w:rPr>
                <w:rFonts w:ascii="Garamond" w:hAnsi="Garamond"/>
              </w:rPr>
            </w:pPr>
            <w:r w:rsidRPr="002A33F2">
              <w:rPr>
                <w:rFonts w:ascii="Garamond" w:hAnsi="Garamond"/>
              </w:rPr>
              <w:t xml:space="preserve">          2. The Commission shall be empowered to adopt delegated acts in accordance with Article 86 for the purpose of further specifying the criteria and requirements for the data protection certification mechanisms referred to in paragraph 1, including conditions for granting and withdrawal, and requirements for recognition within the Union and in third countries, </w:t>
            </w:r>
            <w:r w:rsidRPr="002A33F2">
              <w:rPr>
                <w:rFonts w:ascii="Garamond" w:hAnsi="Garamond"/>
                <w:b/>
                <w:i/>
                <w:color w:val="000000" w:themeColor="text1"/>
              </w:rPr>
              <w:t>provided such measures are technology neutral. Self-regulatory schemes shall be recognized as valid schemes.</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2A33F2" w:rsidRDefault="0026064D" w:rsidP="003A393A">
            <w:pPr>
              <w:rPr>
                <w:rFonts w:ascii="Garamond" w:eastAsia="Calibri" w:hAnsi="Garamond" w:cstheme="minorHAnsi"/>
                <w:color w:val="000000" w:themeColor="text1"/>
                <w:lang w:eastAsia="en-US"/>
              </w:rPr>
            </w:pPr>
            <w:proofErr w:type="gramStart"/>
            <w:r w:rsidRPr="002A33F2">
              <w:rPr>
                <w:rFonts w:ascii="Garamond" w:hAnsi="Garamond" w:cstheme="minorHAnsi"/>
                <w:color w:val="000000" w:themeColor="text1"/>
              </w:rPr>
              <w:t>Any  introduction</w:t>
            </w:r>
            <w:proofErr w:type="gramEnd"/>
            <w:r w:rsidRPr="002A33F2">
              <w:rPr>
                <w:rFonts w:ascii="Garamond" w:hAnsi="Garamond" w:cstheme="minorHAnsi"/>
                <w:color w:val="000000" w:themeColor="text1"/>
              </w:rPr>
              <w:t xml:space="preserve"> of certification schemes should be industry driven and ensure that any measures introduced are technology neutral.</w:t>
            </w:r>
            <w:r w:rsidRPr="002A33F2">
              <w:rPr>
                <w:rFonts w:ascii="Garamond" w:hAnsi="Garamond" w:cstheme="minorHAnsi"/>
                <w:b/>
                <w:color w:val="000000" w:themeColor="text1"/>
              </w:rPr>
              <w:t xml:space="preserve"> </w:t>
            </w:r>
          </w:p>
        </w:tc>
      </w:tr>
    </w:tbl>
    <w:p w:rsidR="0026064D" w:rsidRPr="002A33F2" w:rsidRDefault="0026064D" w:rsidP="0026064D">
      <w:pPr>
        <w:rPr>
          <w:rFonts w:ascii="Garamond" w:hAnsi="Garamond"/>
          <w:i/>
        </w:rPr>
      </w:pPr>
    </w:p>
    <w:p w:rsidR="0026064D" w:rsidRPr="002A33F2" w:rsidRDefault="0026064D" w:rsidP="0026064D">
      <w:pPr>
        <w:rPr>
          <w:rFonts w:ascii="Garamond" w:hAnsi="Garamond"/>
          <w:b/>
          <w:color w:val="1F497D" w:themeColor="text2"/>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26064D" w:rsidRPr="002A33F2" w:rsidTr="003A393A">
        <w:tc>
          <w:tcPr>
            <w:tcW w:w="9622" w:type="dxa"/>
            <w:gridSpan w:val="2"/>
            <w:shd w:val="clear" w:color="auto" w:fill="DDD9C3"/>
          </w:tcPr>
          <w:p w:rsidR="0026064D" w:rsidRPr="002A33F2" w:rsidRDefault="0026064D" w:rsidP="003A393A">
            <w:pPr>
              <w:jc w:val="center"/>
              <w:rPr>
                <w:rFonts w:ascii="Garamond" w:hAnsi="Garamond"/>
                <w:b/>
              </w:rPr>
            </w:pPr>
            <w:r w:rsidRPr="002A33F2">
              <w:rPr>
                <w:rFonts w:ascii="Garamond" w:hAnsi="Garamond"/>
                <w:b/>
              </w:rPr>
              <w:t>Article 43</w:t>
            </w:r>
          </w:p>
          <w:p w:rsidR="0026064D" w:rsidRPr="002A33F2" w:rsidRDefault="0026064D" w:rsidP="003A393A">
            <w:pPr>
              <w:jc w:val="center"/>
              <w:rPr>
                <w:rFonts w:ascii="Garamond" w:hAnsi="Garamond"/>
                <w:b/>
              </w:rPr>
            </w:pPr>
            <w:r w:rsidRPr="002A33F2">
              <w:rPr>
                <w:rFonts w:ascii="Garamond" w:hAnsi="Garamond"/>
                <w:b/>
              </w:rPr>
              <w:t>Transfers by way of binding corporate rules</w:t>
            </w:r>
          </w:p>
          <w:p w:rsidR="0026064D" w:rsidRPr="002A33F2" w:rsidRDefault="0026064D" w:rsidP="003A393A">
            <w:pPr>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B676C7" w:rsidRDefault="0026064D" w:rsidP="003A393A">
            <w:pPr>
              <w:autoSpaceDE w:val="0"/>
              <w:autoSpaceDN w:val="0"/>
              <w:adjustRightInd w:val="0"/>
              <w:rPr>
                <w:rFonts w:ascii="Garamond" w:eastAsiaTheme="minorHAnsi" w:hAnsi="Garamond"/>
              </w:rPr>
            </w:pPr>
            <w:r w:rsidRPr="002A33F2">
              <w:rPr>
                <w:rFonts w:ascii="Garamond" w:eastAsiaTheme="minorHAnsi" w:hAnsi="Garamond"/>
              </w:rPr>
              <w:t xml:space="preserve">3. The Commission shall be empowered to adopt delegated acts in accordance with Article 86 for the purpose of further specifying the criteria  and requirements for binding corporate rules within the meaning of this Article, in particular as regards the criteria for their approval, the application of points (d), (d), (e) and (f) of paragraph 2 to binding corporate rules adhered to by processor and on further necessary requirements to ensure the protection of personal data of the data subject concerned. </w:t>
            </w: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
                <w:iCs/>
                <w:lang w:eastAsia="en-US"/>
              </w:rPr>
            </w:pPr>
            <w:r>
              <w:rPr>
                <w:rFonts w:ascii="Garamond" w:eastAsia="Calibri" w:hAnsi="Garamond" w:cs="Calibri"/>
                <w:b/>
                <w:i/>
                <w:iCs/>
                <w:sz w:val="22"/>
                <w:szCs w:val="22"/>
                <w:lang w:eastAsia="en-US"/>
              </w:rPr>
              <w:t>D</w:t>
            </w:r>
            <w:r w:rsidRPr="002A33F2">
              <w:rPr>
                <w:rFonts w:ascii="Garamond" w:eastAsia="Calibri" w:hAnsi="Garamond" w:cs="Calibri"/>
                <w:b/>
                <w:i/>
                <w:iCs/>
                <w:sz w:val="22"/>
                <w:szCs w:val="22"/>
                <w:lang w:eastAsia="en-US"/>
              </w:rPr>
              <w:t>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2A33F2" w:rsidRDefault="0026064D" w:rsidP="003A393A">
            <w:pPr>
              <w:rPr>
                <w:rFonts w:ascii="Garamond" w:eastAsia="Calibri" w:hAnsi="Garamond" w:cs="Tahoma"/>
                <w:i/>
                <w:lang w:eastAsia="en-US"/>
              </w:rPr>
            </w:pPr>
            <w:r w:rsidRPr="002A33F2">
              <w:rPr>
                <w:rFonts w:ascii="Garamond" w:hAnsi="Garamond"/>
              </w:rPr>
              <w:t>Clarity is needed on the criteria and requirements on BCRs at a European level when the Regulation is introduced.</w:t>
            </w:r>
          </w:p>
        </w:tc>
      </w:tr>
    </w:tbl>
    <w:p w:rsidR="0026064D" w:rsidRPr="002A33F2" w:rsidRDefault="0026064D" w:rsidP="0026064D">
      <w:pPr>
        <w:rPr>
          <w:rFonts w:ascii="Garamond" w:hAnsi="Garamond"/>
          <w:b/>
          <w:color w:val="000000" w:themeColor="text1"/>
          <w:u w:val="single"/>
        </w:rPr>
      </w:pPr>
    </w:p>
    <w:p w:rsidR="0026064D" w:rsidRPr="002A33F2" w:rsidRDefault="0026064D" w:rsidP="0026064D">
      <w:pPr>
        <w:rPr>
          <w:rFonts w:ascii="Garamond" w:hAnsi="Garamond"/>
          <w:b/>
          <w:color w:val="1F497D" w:themeColor="text2"/>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9"/>
        <w:gridCol w:w="4787"/>
      </w:tblGrid>
      <w:tr w:rsidR="0026064D" w:rsidRPr="002A33F2" w:rsidTr="003A393A">
        <w:tc>
          <w:tcPr>
            <w:tcW w:w="9622" w:type="dxa"/>
            <w:gridSpan w:val="2"/>
            <w:shd w:val="clear" w:color="auto" w:fill="DDD9C3"/>
          </w:tcPr>
          <w:p w:rsidR="0026064D" w:rsidRPr="002A33F2"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Article 79</w:t>
            </w:r>
          </w:p>
          <w:p w:rsidR="0026064D" w:rsidRDefault="0026064D" w:rsidP="003A393A">
            <w:pPr>
              <w:autoSpaceDE w:val="0"/>
              <w:autoSpaceDN w:val="0"/>
              <w:adjustRightInd w:val="0"/>
              <w:jc w:val="center"/>
              <w:rPr>
                <w:rFonts w:ascii="Garamond" w:eastAsia="Calibri" w:hAnsi="Garamond" w:cs="Tahoma"/>
                <w:b/>
                <w:lang w:eastAsia="en-US"/>
              </w:rPr>
            </w:pPr>
            <w:r w:rsidRPr="002A33F2">
              <w:rPr>
                <w:rFonts w:ascii="Garamond" w:eastAsia="Calibri" w:hAnsi="Garamond" w:cs="Tahoma"/>
                <w:b/>
                <w:sz w:val="22"/>
                <w:szCs w:val="22"/>
                <w:lang w:eastAsia="en-US"/>
              </w:rPr>
              <w:t>Administrative sanctions</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B676C7" w:rsidRDefault="0026064D" w:rsidP="00B676C7">
            <w:pPr>
              <w:rPr>
                <w:rFonts w:ascii="Garamond" w:hAnsi="Garamond"/>
              </w:rPr>
            </w:pPr>
            <w:r w:rsidRPr="002A33F2">
              <w:rPr>
                <w:rFonts w:ascii="Garamond" w:hAnsi="Garamond"/>
              </w:rPr>
              <w:t xml:space="preserve">     7. The Commission shall be empowered to adopt delegated acts in accordance with Article 86 for the purpose of updating the amounts of the administrative fines referred to in paragraphs 4, 5 and 6, taking into account the criteria referred to in paragraph 2.</w:t>
            </w: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
                <w:iCs/>
                <w:lang w:eastAsia="en-US"/>
              </w:rPr>
            </w:pPr>
            <w:r>
              <w:rPr>
                <w:rFonts w:ascii="Garamond" w:eastAsia="Calibri" w:hAnsi="Garamond" w:cs="Calibri"/>
                <w:b/>
                <w:i/>
                <w:iCs/>
                <w:sz w:val="22"/>
                <w:szCs w:val="22"/>
                <w:lang w:eastAsia="en-US"/>
              </w:rPr>
              <w:t>D</w:t>
            </w:r>
            <w:r w:rsidRPr="002A33F2">
              <w:rPr>
                <w:rFonts w:ascii="Garamond" w:eastAsia="Calibri" w:hAnsi="Garamond" w:cs="Calibri"/>
                <w:b/>
                <w:i/>
                <w:iCs/>
                <w:sz w:val="22"/>
                <w:szCs w:val="22"/>
                <w:lang w:eastAsia="en-US"/>
              </w:rPr>
              <w:t>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2A33F2" w:rsidRDefault="0026064D" w:rsidP="003A393A">
            <w:pPr>
              <w:rPr>
                <w:rFonts w:ascii="Garamond" w:eastAsia="Calibri" w:hAnsi="Garamond" w:cs="Tahoma"/>
                <w:i/>
                <w:lang w:eastAsia="en-US"/>
              </w:rPr>
            </w:pPr>
            <w:r w:rsidRPr="002A33F2">
              <w:rPr>
                <w:rFonts w:ascii="Garamond" w:hAnsi="Garamond"/>
              </w:rPr>
              <w:t>The level setting of administrative sanctions shall be subject to predictable and legal certainty. Furthermore their amendments and changes should be subject to extended decision-making and democratic controls.</w:t>
            </w:r>
          </w:p>
        </w:tc>
      </w:tr>
    </w:tbl>
    <w:p w:rsidR="0026064D" w:rsidRPr="002A33F2" w:rsidRDefault="0026064D" w:rsidP="0026064D">
      <w:pPr>
        <w:jc w:val="center"/>
        <w:rPr>
          <w:rFonts w:ascii="Garamond" w:hAnsi="Garamond"/>
          <w:i/>
        </w:rPr>
      </w:pPr>
    </w:p>
    <w:p w:rsidR="0026064D" w:rsidRDefault="0026064D" w:rsidP="0026064D">
      <w:pPr>
        <w:rPr>
          <w:rFonts w:ascii="Garamond" w:hAnsi="Garamond"/>
          <w:b/>
          <w:color w:val="1F497D" w:themeColor="text2"/>
          <w:sz w:val="20"/>
          <w:szCs w:val="20"/>
        </w:rPr>
      </w:pPr>
    </w:p>
    <w:p w:rsidR="00A02E36" w:rsidRPr="009C61DB" w:rsidRDefault="00A02E36" w:rsidP="0026064D">
      <w:pPr>
        <w:rPr>
          <w:rFonts w:ascii="Garamond" w:hAnsi="Garamond"/>
          <w:b/>
          <w:color w:val="1F497D" w:themeColor="text2"/>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26064D" w:rsidRPr="002A33F2" w:rsidTr="003A393A">
        <w:tc>
          <w:tcPr>
            <w:tcW w:w="9622" w:type="dxa"/>
            <w:gridSpan w:val="2"/>
            <w:shd w:val="clear" w:color="auto" w:fill="DDD9C3"/>
          </w:tcPr>
          <w:p w:rsidR="0026064D" w:rsidRPr="002A33F2" w:rsidRDefault="0026064D" w:rsidP="003A393A">
            <w:pPr>
              <w:jc w:val="center"/>
              <w:rPr>
                <w:rFonts w:ascii="Garamond" w:hAnsi="Garamond"/>
                <w:b/>
              </w:rPr>
            </w:pPr>
            <w:r w:rsidRPr="002A33F2">
              <w:rPr>
                <w:rFonts w:ascii="Garamond" w:hAnsi="Garamond"/>
                <w:b/>
              </w:rPr>
              <w:t>Article 82</w:t>
            </w:r>
          </w:p>
          <w:p w:rsidR="0026064D" w:rsidRPr="002A33F2" w:rsidRDefault="0026064D" w:rsidP="003A393A">
            <w:pPr>
              <w:jc w:val="center"/>
              <w:rPr>
                <w:rFonts w:ascii="Garamond" w:hAnsi="Garamond"/>
                <w:b/>
              </w:rPr>
            </w:pPr>
            <w:r w:rsidRPr="002A33F2">
              <w:rPr>
                <w:rFonts w:ascii="Garamond" w:hAnsi="Garamond"/>
                <w:b/>
              </w:rPr>
              <w:t>Processing in the employment context</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A02E36" w:rsidRDefault="0026064D" w:rsidP="00A02E36">
            <w:pPr>
              <w:autoSpaceDE w:val="0"/>
              <w:autoSpaceDN w:val="0"/>
              <w:adjustRightInd w:val="0"/>
              <w:rPr>
                <w:rFonts w:ascii="Garamond" w:eastAsiaTheme="minorHAnsi" w:hAnsi="Garamond"/>
              </w:rPr>
            </w:pPr>
            <w:r w:rsidRPr="002A33F2">
              <w:rPr>
                <w:rFonts w:ascii="Garamond" w:eastAsiaTheme="minorHAnsi" w:hAnsi="Garamond"/>
              </w:rPr>
              <w:t>3. The Commission shall be empowered to adopt delegated acts in accordance with Article 86 for the purpose of further specifying the criteria and requirements for the safeguards for the processing of personal data for the purposes referred to in paragraph 1.</w:t>
            </w:r>
          </w:p>
        </w:tc>
        <w:tc>
          <w:tcPr>
            <w:tcW w:w="4811" w:type="dxa"/>
          </w:tcPr>
          <w:p w:rsidR="0026064D" w:rsidRDefault="0026064D" w:rsidP="00B676C7">
            <w:pPr>
              <w:autoSpaceDE w:val="0"/>
              <w:autoSpaceDN w:val="0"/>
              <w:adjustRightInd w:val="0"/>
              <w:rPr>
                <w:rFonts w:ascii="Garamond" w:eastAsiaTheme="minorHAnsi" w:hAnsi="Garamond"/>
                <w:strike/>
              </w:rPr>
            </w:pPr>
          </w:p>
          <w:p w:rsidR="00A02E36" w:rsidRPr="00A02E36" w:rsidRDefault="00A02E36" w:rsidP="00B676C7">
            <w:pPr>
              <w:autoSpaceDE w:val="0"/>
              <w:autoSpaceDN w:val="0"/>
              <w:adjustRightInd w:val="0"/>
              <w:rPr>
                <w:rFonts w:ascii="Garamond" w:eastAsiaTheme="minorHAnsi" w:hAnsi="Garamond"/>
                <w:b/>
                <w:i/>
              </w:rPr>
            </w:pPr>
            <w:r w:rsidRPr="00A02E36">
              <w:rPr>
                <w:rFonts w:ascii="Garamond" w:eastAsiaTheme="minorHAnsi" w:hAnsi="Garamond"/>
                <w:b/>
                <w:i/>
              </w:rPr>
              <w:t>Delete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2A33F2" w:rsidRDefault="0026064D" w:rsidP="003A393A">
            <w:pPr>
              <w:rPr>
                <w:rFonts w:ascii="Garamond" w:eastAsia="Calibri" w:hAnsi="Garamond" w:cs="Tahoma"/>
                <w:i/>
                <w:lang w:eastAsia="en-US"/>
              </w:rPr>
            </w:pPr>
          </w:p>
        </w:tc>
      </w:tr>
    </w:tbl>
    <w:p w:rsidR="0026064D" w:rsidRDefault="0026064D" w:rsidP="0026064D">
      <w:pPr>
        <w:rPr>
          <w:rFonts w:ascii="Garamond" w:hAnsi="Garamond"/>
          <w:b/>
          <w:color w:val="000000" w:themeColor="text1"/>
          <w:u w:val="single"/>
        </w:rPr>
      </w:pPr>
    </w:p>
    <w:p w:rsidR="00A02E36" w:rsidRPr="002A33F2" w:rsidRDefault="00A02E36" w:rsidP="0026064D">
      <w:pPr>
        <w:rPr>
          <w:rFonts w:ascii="Garamond" w:hAnsi="Garamond"/>
          <w:b/>
          <w:color w:val="000000" w:themeColor="text1"/>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9"/>
        <w:gridCol w:w="4787"/>
      </w:tblGrid>
      <w:tr w:rsidR="0026064D" w:rsidRPr="002A33F2" w:rsidTr="003A393A">
        <w:tc>
          <w:tcPr>
            <w:tcW w:w="9622" w:type="dxa"/>
            <w:gridSpan w:val="2"/>
            <w:shd w:val="clear" w:color="auto" w:fill="DDD9C3"/>
          </w:tcPr>
          <w:p w:rsidR="0026064D" w:rsidRPr="002A33F2" w:rsidRDefault="0026064D" w:rsidP="003A393A">
            <w:pPr>
              <w:jc w:val="center"/>
              <w:rPr>
                <w:rFonts w:ascii="Garamond" w:hAnsi="Garamond"/>
                <w:b/>
              </w:rPr>
            </w:pPr>
            <w:r w:rsidRPr="002A33F2">
              <w:rPr>
                <w:rFonts w:ascii="Garamond" w:hAnsi="Garamond"/>
                <w:b/>
              </w:rPr>
              <w:t xml:space="preserve">Article 83 </w:t>
            </w:r>
          </w:p>
          <w:p w:rsidR="0026064D" w:rsidRPr="002A33F2" w:rsidRDefault="0026064D" w:rsidP="003A393A">
            <w:pPr>
              <w:jc w:val="center"/>
              <w:rPr>
                <w:rFonts w:ascii="Garamond" w:hAnsi="Garamond"/>
                <w:b/>
              </w:rPr>
            </w:pPr>
            <w:r w:rsidRPr="002A33F2">
              <w:rPr>
                <w:rFonts w:ascii="Garamond" w:hAnsi="Garamond"/>
                <w:b/>
              </w:rPr>
              <w:t>Processing for historical, statistical and scientific research purposes</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9D36A5" w:rsidRDefault="0026064D" w:rsidP="003A393A">
            <w:pPr>
              <w:autoSpaceDE w:val="0"/>
              <w:autoSpaceDN w:val="0"/>
              <w:adjustRightInd w:val="0"/>
              <w:rPr>
                <w:rFonts w:ascii="Garamond" w:eastAsiaTheme="minorHAnsi" w:hAnsi="Garamond"/>
              </w:rPr>
            </w:pPr>
            <w:proofErr w:type="gramStart"/>
            <w:r w:rsidRPr="002A33F2">
              <w:rPr>
                <w:rFonts w:ascii="Garamond" w:eastAsiaTheme="minorHAnsi" w:hAnsi="Garamond"/>
              </w:rPr>
              <w:t>3.The</w:t>
            </w:r>
            <w:proofErr w:type="gramEnd"/>
            <w:r w:rsidRPr="002A33F2">
              <w:rPr>
                <w:rFonts w:ascii="Garamond" w:eastAsiaTheme="minorHAnsi" w:hAnsi="Garamond"/>
              </w:rPr>
              <w:t xml:space="preserve"> Commission shall be empowered to adopt delegated acts in accordance with Article 86 for the purpose of further specifying the criteria and requirements for the processing of personal data for the purposes referred to in paragraph 1 and 2 as well as any necessary limitations on the rights of information to and access by the data subject and detailing the conditions and safeguards for the rights of the data subject under these circumstances.</w:t>
            </w:r>
          </w:p>
        </w:tc>
        <w:tc>
          <w:tcPr>
            <w:tcW w:w="4811" w:type="dxa"/>
          </w:tcPr>
          <w:p w:rsidR="008A082D" w:rsidRDefault="008A082D" w:rsidP="003A393A">
            <w:pPr>
              <w:autoSpaceDE w:val="0"/>
              <w:autoSpaceDN w:val="0"/>
              <w:adjustRightInd w:val="0"/>
              <w:rPr>
                <w:rFonts w:ascii="Garamond" w:eastAsiaTheme="minorHAnsi" w:hAnsi="Garamond"/>
                <w:strike/>
              </w:rPr>
            </w:pPr>
          </w:p>
          <w:p w:rsidR="0026064D" w:rsidRPr="008A082D" w:rsidRDefault="008A082D" w:rsidP="003A393A">
            <w:pPr>
              <w:autoSpaceDE w:val="0"/>
              <w:autoSpaceDN w:val="0"/>
              <w:adjustRightInd w:val="0"/>
              <w:rPr>
                <w:rFonts w:ascii="Garamond" w:eastAsia="Calibri" w:hAnsi="Garamond" w:cs="Calibri"/>
                <w:b/>
                <w:i/>
                <w:iCs/>
                <w:lang w:eastAsia="en-US"/>
              </w:rPr>
            </w:pPr>
            <w:r w:rsidRPr="008A082D">
              <w:rPr>
                <w:rFonts w:ascii="Garamond" w:eastAsiaTheme="minorHAnsi" w:hAnsi="Garamond"/>
                <w:b/>
                <w:i/>
              </w:rPr>
              <w:t>Delete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2A33F2" w:rsidRDefault="0026064D" w:rsidP="003A393A">
            <w:pPr>
              <w:rPr>
                <w:rFonts w:ascii="Garamond" w:eastAsia="Calibri" w:hAnsi="Garamond" w:cs="Tahoma"/>
                <w:i/>
                <w:lang w:eastAsia="en-US"/>
              </w:rPr>
            </w:pPr>
          </w:p>
        </w:tc>
      </w:tr>
    </w:tbl>
    <w:p w:rsidR="0026064D" w:rsidRDefault="0026064D" w:rsidP="0026064D">
      <w:pPr>
        <w:jc w:val="center"/>
        <w:rPr>
          <w:rFonts w:ascii="Garamond" w:hAnsi="Garamond"/>
          <w:i/>
        </w:rPr>
      </w:pPr>
    </w:p>
    <w:p w:rsidR="009C61DB" w:rsidRPr="002A33F2" w:rsidRDefault="009C61DB" w:rsidP="0026064D">
      <w:pPr>
        <w:jc w:val="center"/>
        <w:rPr>
          <w:rFonts w:ascii="Garamond" w:hAnsi="Garamond"/>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26064D" w:rsidRPr="002A33F2" w:rsidTr="003A393A">
        <w:tc>
          <w:tcPr>
            <w:tcW w:w="9622" w:type="dxa"/>
            <w:gridSpan w:val="2"/>
            <w:shd w:val="clear" w:color="auto" w:fill="DDD9C3"/>
          </w:tcPr>
          <w:p w:rsidR="0026064D" w:rsidRPr="002A33F2" w:rsidRDefault="0026064D" w:rsidP="003A393A">
            <w:pPr>
              <w:overflowPunct/>
              <w:jc w:val="center"/>
              <w:rPr>
                <w:rFonts w:ascii="Garamond" w:eastAsia="Calibri" w:hAnsi="Garamond" w:cs="Tahoma"/>
                <w:b/>
                <w:lang w:eastAsia="en-US"/>
              </w:rPr>
            </w:pPr>
            <w:r w:rsidRPr="002A33F2">
              <w:rPr>
                <w:rFonts w:ascii="Garamond" w:eastAsia="Calibri" w:hAnsi="Garamond" w:cs="Tahoma"/>
                <w:b/>
                <w:sz w:val="22"/>
                <w:szCs w:val="22"/>
                <w:lang w:eastAsia="en-US"/>
              </w:rPr>
              <w:t>Article 86</w:t>
            </w:r>
          </w:p>
          <w:p w:rsidR="0026064D" w:rsidRPr="002A33F2" w:rsidRDefault="0026064D" w:rsidP="003A393A">
            <w:pPr>
              <w:overflowPunct/>
              <w:jc w:val="center"/>
              <w:rPr>
                <w:rFonts w:ascii="Garamond" w:eastAsia="Calibri" w:hAnsi="Garamond" w:cs="Tahoma"/>
                <w:b/>
                <w:lang w:eastAsia="en-US"/>
              </w:rPr>
            </w:pPr>
            <w:r w:rsidRPr="002A33F2">
              <w:rPr>
                <w:rFonts w:ascii="Garamond" w:eastAsia="Calibri" w:hAnsi="Garamond" w:cs="Tahoma"/>
                <w:b/>
                <w:sz w:val="22"/>
                <w:szCs w:val="22"/>
                <w:lang w:eastAsia="en-US"/>
              </w:rPr>
              <w:t>Exercise of delegation</w:t>
            </w: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2A33F2" w:rsidRDefault="0026064D" w:rsidP="0026064D">
            <w:pPr>
              <w:pStyle w:val="ListParagraph"/>
              <w:numPr>
                <w:ilvl w:val="0"/>
                <w:numId w:val="5"/>
              </w:numPr>
              <w:overflowPunct/>
              <w:spacing w:after="200" w:line="276" w:lineRule="auto"/>
              <w:ind w:left="142" w:firstLine="0"/>
              <w:rPr>
                <w:rFonts w:ascii="Garamond" w:hAnsi="Garamond"/>
              </w:rPr>
            </w:pPr>
            <w:r w:rsidRPr="002A33F2">
              <w:rPr>
                <w:rFonts w:ascii="Garamond" w:hAnsi="Garamond"/>
              </w:rPr>
              <w:t>The power to adopt delegated acts is conferred on the Commission subject to the conditions laid down in this Article.</w:t>
            </w:r>
          </w:p>
          <w:p w:rsidR="0026064D" w:rsidRPr="002A33F2" w:rsidRDefault="0026064D" w:rsidP="003A393A">
            <w:pPr>
              <w:rPr>
                <w:rFonts w:ascii="Garamond" w:hAnsi="Garamond"/>
              </w:rPr>
            </w:pPr>
          </w:p>
          <w:p w:rsidR="0026064D" w:rsidRPr="002A33F2" w:rsidRDefault="0026064D" w:rsidP="003A393A">
            <w:pPr>
              <w:rPr>
                <w:rFonts w:ascii="Garamond" w:hAnsi="Garamond"/>
              </w:rPr>
            </w:pPr>
            <w:r w:rsidRPr="002A33F2">
              <w:rPr>
                <w:rFonts w:ascii="Garamond" w:hAnsi="Garamond"/>
              </w:rPr>
              <w:t xml:space="preserve">2. The delegation of power referred to in </w:t>
            </w:r>
            <w:r w:rsidRPr="002A33F2">
              <w:rPr>
                <w:rFonts w:ascii="Garamond" w:hAnsi="Garamond"/>
                <w:b/>
                <w:i/>
              </w:rPr>
              <w:t>Article 6(5),</w:t>
            </w:r>
            <w:r w:rsidRPr="002A33F2">
              <w:rPr>
                <w:rFonts w:ascii="Garamond" w:hAnsi="Garamond"/>
              </w:rPr>
              <w:t xml:space="preserve"> Article 8(3), </w:t>
            </w:r>
            <w:r w:rsidRPr="002A33F2">
              <w:rPr>
                <w:rFonts w:ascii="Garamond" w:hAnsi="Garamond"/>
                <w:b/>
                <w:i/>
              </w:rPr>
              <w:t>Article 9(3),</w:t>
            </w:r>
            <w:r w:rsidRPr="002A33F2">
              <w:rPr>
                <w:rFonts w:ascii="Garamond" w:hAnsi="Garamond"/>
              </w:rPr>
              <w:t xml:space="preserve"> Article 12(5), </w:t>
            </w:r>
            <w:r w:rsidRPr="002A33F2">
              <w:rPr>
                <w:rFonts w:ascii="Garamond" w:hAnsi="Garamond"/>
                <w:b/>
                <w:i/>
              </w:rPr>
              <w:t xml:space="preserve">Article 14(7), Article 15(3), Article 17(9), Article 20(6), Article 22(4), Article 23(3), Article 26(5), Article 28(5), </w:t>
            </w:r>
            <w:r w:rsidRPr="002A33F2">
              <w:rPr>
                <w:rFonts w:ascii="Garamond" w:hAnsi="Garamond"/>
              </w:rPr>
              <w:t xml:space="preserve">Article 30(3), Article 31(5), Article 32(5), </w:t>
            </w:r>
            <w:r w:rsidRPr="002A33F2">
              <w:rPr>
                <w:rFonts w:ascii="Garamond" w:hAnsi="Garamond"/>
                <w:b/>
                <w:i/>
              </w:rPr>
              <w:t>Article 33(6), Article 34(8), Article 35(11), Article 37(2), Article 39(2),</w:t>
            </w:r>
            <w:r w:rsidRPr="002A33F2">
              <w:rPr>
                <w:rFonts w:ascii="Garamond" w:hAnsi="Garamond"/>
              </w:rPr>
              <w:t xml:space="preserve"> Article 43(3), Article 44(7), </w:t>
            </w:r>
            <w:r w:rsidRPr="002A33F2">
              <w:rPr>
                <w:rFonts w:ascii="Garamond" w:hAnsi="Garamond"/>
                <w:b/>
                <w:i/>
              </w:rPr>
              <w:t>Article 79(6),</w:t>
            </w:r>
            <w:r w:rsidRPr="002A33F2">
              <w:rPr>
                <w:rFonts w:ascii="Garamond" w:hAnsi="Garamond"/>
              </w:rPr>
              <w:t xml:space="preserve"> Article 81(3), Article 82(3) and Article 83(3) shall be conferred on the Commission for an indeterminate period of time from the date of entry into force of this Regulation.</w:t>
            </w:r>
          </w:p>
          <w:p w:rsidR="0026064D" w:rsidRPr="002A33F2" w:rsidRDefault="0026064D" w:rsidP="003A393A">
            <w:pPr>
              <w:rPr>
                <w:rFonts w:ascii="Garamond" w:hAnsi="Garamond"/>
              </w:rPr>
            </w:pPr>
          </w:p>
          <w:p w:rsidR="0026064D" w:rsidRPr="002A33F2" w:rsidRDefault="0026064D" w:rsidP="003A393A">
            <w:pPr>
              <w:rPr>
                <w:rFonts w:ascii="Garamond" w:hAnsi="Garamond"/>
              </w:rPr>
            </w:pPr>
            <w:r w:rsidRPr="002A33F2">
              <w:rPr>
                <w:rFonts w:ascii="Garamond" w:hAnsi="Garamond"/>
              </w:rPr>
              <w:t xml:space="preserve">3.The delegation of power referred to in </w:t>
            </w:r>
            <w:r w:rsidRPr="002A33F2">
              <w:rPr>
                <w:rFonts w:ascii="Garamond" w:hAnsi="Garamond"/>
                <w:b/>
                <w:i/>
              </w:rPr>
              <w:t>Article 6(5),</w:t>
            </w:r>
            <w:r w:rsidRPr="002A33F2">
              <w:rPr>
                <w:rFonts w:ascii="Garamond" w:hAnsi="Garamond"/>
              </w:rPr>
              <w:t xml:space="preserve"> Article 8(3), </w:t>
            </w:r>
            <w:r w:rsidRPr="002A33F2">
              <w:rPr>
                <w:rFonts w:ascii="Garamond" w:hAnsi="Garamond"/>
                <w:b/>
                <w:i/>
              </w:rPr>
              <w:t>Article 9(3),</w:t>
            </w:r>
            <w:r w:rsidRPr="002A33F2">
              <w:rPr>
                <w:rFonts w:ascii="Garamond" w:hAnsi="Garamond"/>
              </w:rPr>
              <w:t xml:space="preserve"> Article 12(5), </w:t>
            </w:r>
            <w:r w:rsidRPr="002A33F2">
              <w:rPr>
                <w:rFonts w:ascii="Garamond" w:hAnsi="Garamond"/>
                <w:b/>
                <w:i/>
              </w:rPr>
              <w:t xml:space="preserve">Article 14(7), Article 15(3), Article 17(9), Article 20(6), Article 22(4), Article 23(3), Article 26(5), Article 28(5), </w:t>
            </w:r>
            <w:r w:rsidRPr="002A33F2">
              <w:rPr>
                <w:rFonts w:ascii="Garamond" w:hAnsi="Garamond"/>
              </w:rPr>
              <w:t xml:space="preserve">Article 30(3), Article 31(5), Article 32(5), </w:t>
            </w:r>
            <w:r w:rsidRPr="002A33F2">
              <w:rPr>
                <w:rFonts w:ascii="Garamond" w:hAnsi="Garamond"/>
                <w:b/>
                <w:i/>
              </w:rPr>
              <w:t>Article 33(6), Article 34(8), Article 35(11), Article 37(2), Article 39(2),</w:t>
            </w:r>
            <w:r w:rsidRPr="002A33F2">
              <w:rPr>
                <w:rFonts w:ascii="Garamond" w:hAnsi="Garamond"/>
              </w:rPr>
              <w:t xml:space="preserve"> Article 43(3), Article 44(7), </w:t>
            </w:r>
            <w:r w:rsidRPr="002A33F2">
              <w:rPr>
                <w:rFonts w:ascii="Garamond" w:hAnsi="Garamond"/>
                <w:b/>
                <w:i/>
              </w:rPr>
              <w:t>Article 79(6),</w:t>
            </w:r>
            <w:r w:rsidRPr="002A33F2">
              <w:rPr>
                <w:rFonts w:ascii="Garamond" w:hAnsi="Garamond"/>
              </w:rPr>
              <w:t xml:space="preserve"> Article 81(3), Article 82(3) and Article 83(3) may be revoked at any time by the European Parliament or by the Council. A decision of revocation shall put an end to the delegation of power specified in that decision. It shall take effect the day following the publication of the decision in the Official Journal of the European Union or at a later date specified therein. It shall not affect the validity of any delegated acts already in force.</w:t>
            </w:r>
          </w:p>
          <w:p w:rsidR="0026064D" w:rsidRPr="002A33F2" w:rsidRDefault="0026064D" w:rsidP="003A393A">
            <w:pPr>
              <w:rPr>
                <w:rFonts w:ascii="Garamond" w:hAnsi="Garamond"/>
              </w:rPr>
            </w:pPr>
          </w:p>
          <w:p w:rsidR="0026064D" w:rsidRPr="002A33F2" w:rsidRDefault="0026064D" w:rsidP="003A393A">
            <w:pPr>
              <w:rPr>
                <w:rFonts w:ascii="Garamond" w:hAnsi="Garamond"/>
              </w:rPr>
            </w:pPr>
            <w:r w:rsidRPr="002A33F2">
              <w:rPr>
                <w:rFonts w:ascii="Garamond" w:hAnsi="Garamond"/>
              </w:rPr>
              <w:t xml:space="preserve">     4. As soon as it adopts a delegated act, the Commission shall notify it simultaneously to the European Parliament and to the Council.</w:t>
            </w:r>
          </w:p>
          <w:p w:rsidR="0026064D" w:rsidRPr="002A33F2" w:rsidRDefault="0026064D" w:rsidP="003A393A">
            <w:pPr>
              <w:rPr>
                <w:rFonts w:ascii="Garamond" w:hAnsi="Garamond"/>
              </w:rPr>
            </w:pPr>
          </w:p>
          <w:p w:rsidR="0026064D" w:rsidRPr="002A33F2" w:rsidRDefault="0026064D" w:rsidP="003A393A">
            <w:pPr>
              <w:rPr>
                <w:rFonts w:ascii="Garamond" w:hAnsi="Garamond"/>
              </w:rPr>
            </w:pPr>
            <w:r w:rsidRPr="002A33F2">
              <w:rPr>
                <w:rFonts w:ascii="Garamond" w:hAnsi="Garamond"/>
              </w:rPr>
              <w:t xml:space="preserve">     5. A delegated act adopted pursuant to </w:t>
            </w:r>
            <w:r w:rsidRPr="002A33F2">
              <w:rPr>
                <w:rFonts w:ascii="Garamond" w:hAnsi="Garamond"/>
                <w:b/>
                <w:i/>
              </w:rPr>
              <w:t>Article 6(5),</w:t>
            </w:r>
            <w:r w:rsidRPr="002A33F2">
              <w:rPr>
                <w:rFonts w:ascii="Garamond" w:hAnsi="Garamond"/>
              </w:rPr>
              <w:t xml:space="preserve"> Article 8(3), </w:t>
            </w:r>
            <w:r w:rsidRPr="002A33F2">
              <w:rPr>
                <w:rFonts w:ascii="Garamond" w:hAnsi="Garamond"/>
                <w:b/>
                <w:i/>
              </w:rPr>
              <w:t>Article 9(3),</w:t>
            </w:r>
            <w:r w:rsidRPr="002A33F2">
              <w:rPr>
                <w:rFonts w:ascii="Garamond" w:hAnsi="Garamond"/>
              </w:rPr>
              <w:t xml:space="preserve"> Article 12(5), </w:t>
            </w:r>
            <w:r w:rsidRPr="002A33F2">
              <w:rPr>
                <w:rFonts w:ascii="Garamond" w:hAnsi="Garamond"/>
                <w:b/>
                <w:i/>
              </w:rPr>
              <w:t xml:space="preserve">Article 14(7), Article 15(3), Article 17(9), Article 20(6), Article 22(4), Article 23(3), Article 26(5), Article 28(5), </w:t>
            </w:r>
            <w:r w:rsidRPr="002A33F2">
              <w:rPr>
                <w:rFonts w:ascii="Garamond" w:hAnsi="Garamond"/>
              </w:rPr>
              <w:t xml:space="preserve">Article 30(3), Article 31(5), Article 32(5), </w:t>
            </w:r>
            <w:r w:rsidRPr="002A33F2">
              <w:rPr>
                <w:rFonts w:ascii="Garamond" w:hAnsi="Garamond"/>
                <w:b/>
                <w:i/>
              </w:rPr>
              <w:t>Article 33(6), Article 34(8), Article 35(11), Article 37(2), Article 39(2),</w:t>
            </w:r>
            <w:r w:rsidRPr="002A33F2">
              <w:rPr>
                <w:rFonts w:ascii="Garamond" w:hAnsi="Garamond"/>
              </w:rPr>
              <w:t xml:space="preserve"> Article 43(3), Article 44(7), </w:t>
            </w:r>
            <w:r w:rsidRPr="002A33F2">
              <w:rPr>
                <w:rFonts w:ascii="Garamond" w:hAnsi="Garamond"/>
                <w:b/>
                <w:i/>
              </w:rPr>
              <w:t>Article 79(6),</w:t>
            </w:r>
            <w:r w:rsidRPr="002A33F2">
              <w:rPr>
                <w:rFonts w:ascii="Garamond" w:hAnsi="Garamond"/>
              </w:rPr>
              <w:t xml:space="preserve">  Article 81(3), Article 82(3) and Article 83(3) shall enter into force only if no objection has been expressed either by the European Parliament or the Council within a period of two months of notification of that act to the European Parliament and the Council or if, before the expiry of that period, the European Parliament and the Council have both informed the Commission that they will not object. That period shall be extended by two months at the initiative of the European Parliament or the Council.</w:t>
            </w:r>
          </w:p>
          <w:p w:rsidR="0026064D" w:rsidRPr="002A33F2" w:rsidRDefault="0026064D" w:rsidP="003A393A">
            <w:pPr>
              <w:rPr>
                <w:rFonts w:ascii="Garamond" w:hAnsi="Garamond"/>
              </w:rPr>
            </w:pPr>
          </w:p>
        </w:tc>
        <w:tc>
          <w:tcPr>
            <w:tcW w:w="4811" w:type="dxa"/>
          </w:tcPr>
          <w:p w:rsidR="0026064D" w:rsidRPr="002A33F2" w:rsidRDefault="0026064D" w:rsidP="003A393A">
            <w:pPr>
              <w:rPr>
                <w:rFonts w:ascii="Garamond" w:hAnsi="Garamond"/>
                <w:b/>
                <w:i/>
                <w:color w:val="FF0000"/>
              </w:rPr>
            </w:pPr>
            <w:r w:rsidRPr="002A33F2">
              <w:rPr>
                <w:rFonts w:ascii="Garamond" w:hAnsi="Garamond"/>
              </w:rPr>
              <w:t xml:space="preserve">1. The power to adopt delegated acts is conferred on the Commission subject to the conditions laid down in this Article. </w:t>
            </w:r>
            <w:r w:rsidRPr="002A33F2">
              <w:rPr>
                <w:rFonts w:ascii="Garamond" w:hAnsi="Garamond"/>
                <w:b/>
                <w:i/>
                <w:color w:val="000000" w:themeColor="text1"/>
              </w:rPr>
              <w:t>Adoption of such delegated act shall be subject to prior impact assessment as defined within the better regulation measures.</w:t>
            </w:r>
          </w:p>
          <w:p w:rsidR="0026064D" w:rsidRPr="002A33F2" w:rsidRDefault="0026064D" w:rsidP="003A393A">
            <w:pPr>
              <w:rPr>
                <w:rFonts w:ascii="Garamond" w:hAnsi="Garamond"/>
              </w:rPr>
            </w:pPr>
          </w:p>
          <w:p w:rsidR="0026064D" w:rsidRPr="002A33F2" w:rsidRDefault="0026064D" w:rsidP="003A393A">
            <w:pPr>
              <w:rPr>
                <w:rFonts w:ascii="Garamond" w:hAnsi="Garamond"/>
              </w:rPr>
            </w:pPr>
            <w:r w:rsidRPr="002A33F2">
              <w:rPr>
                <w:rFonts w:ascii="Garamond" w:hAnsi="Garamond"/>
              </w:rPr>
              <w:t xml:space="preserve">2.The delegation of power referred to in </w:t>
            </w:r>
          </w:p>
          <w:p w:rsidR="0026064D" w:rsidRPr="002A33F2" w:rsidRDefault="0026064D" w:rsidP="003A393A">
            <w:pPr>
              <w:rPr>
                <w:rFonts w:ascii="Garamond" w:hAnsi="Garamond"/>
                <w:b/>
                <w:i/>
                <w:color w:val="000000" w:themeColor="text1"/>
              </w:rPr>
            </w:pPr>
            <w:r w:rsidRPr="002A33F2">
              <w:rPr>
                <w:rFonts w:ascii="Garamond" w:hAnsi="Garamond"/>
                <w:b/>
                <w:i/>
                <w:strike/>
              </w:rPr>
              <w:t>Article 6(5), Article 8(3), Article 9(3</w:t>
            </w:r>
            <w:r w:rsidRPr="002A33F2">
              <w:rPr>
                <w:rFonts w:ascii="Garamond" w:hAnsi="Garamond"/>
                <w:b/>
                <w:i/>
              </w:rPr>
              <w:t>),</w:t>
            </w:r>
            <w:r w:rsidRPr="002A33F2">
              <w:rPr>
                <w:rFonts w:ascii="Garamond" w:hAnsi="Garamond"/>
              </w:rPr>
              <w:t xml:space="preserve"> Article 12(5), </w:t>
            </w:r>
            <w:r w:rsidRPr="002A33F2">
              <w:rPr>
                <w:rFonts w:ascii="Garamond" w:hAnsi="Garamond"/>
                <w:b/>
                <w:strike/>
              </w:rPr>
              <w:t>Article 14(7), Article 15(3), Article 17(9), Article 20(6), Article 22(4), Article 23(3), Article 26(5), Article 28(5), Article 30(3), Article 31(5), Article 32(5), Article 33(6), Article 34(8), Article 35(11), Article 37(2), Article 39(2), Article 43(3)</w:t>
            </w:r>
            <w:r w:rsidRPr="002A33F2">
              <w:rPr>
                <w:rFonts w:ascii="Garamond" w:hAnsi="Garamond"/>
              </w:rPr>
              <w:t xml:space="preserve">, Article 44(7), </w:t>
            </w:r>
            <w:r w:rsidRPr="002A33F2">
              <w:rPr>
                <w:rFonts w:ascii="Garamond" w:hAnsi="Garamond"/>
                <w:b/>
                <w:i/>
                <w:strike/>
              </w:rPr>
              <w:t>Article 79(6),</w:t>
            </w:r>
            <w:r w:rsidRPr="002A33F2">
              <w:rPr>
                <w:rFonts w:ascii="Garamond" w:hAnsi="Garamond"/>
              </w:rPr>
              <w:t xml:space="preserve"> Article 81(3), Article </w:t>
            </w:r>
            <w:r w:rsidRPr="002A33F2">
              <w:rPr>
                <w:rFonts w:ascii="Garamond" w:hAnsi="Garamond"/>
                <w:strike/>
              </w:rPr>
              <w:t>82(3) and Article 83(3)</w:t>
            </w:r>
            <w:r w:rsidRPr="002A33F2">
              <w:rPr>
                <w:rFonts w:ascii="Garamond" w:hAnsi="Garamond"/>
                <w:b/>
                <w:i/>
                <w:strike/>
                <w:color w:val="000000" w:themeColor="text1"/>
              </w:rPr>
              <w:t xml:space="preserve"> </w:t>
            </w:r>
            <w:r w:rsidRPr="002A33F2">
              <w:rPr>
                <w:rFonts w:ascii="Garamond" w:hAnsi="Garamond"/>
              </w:rPr>
              <w:t>shall be conferred on the Commission for an indeterminate period of time from the date of entry into force of this Regulation.</w:t>
            </w:r>
          </w:p>
          <w:p w:rsidR="0026064D" w:rsidRPr="002A33F2" w:rsidRDefault="0026064D" w:rsidP="003A393A">
            <w:pPr>
              <w:rPr>
                <w:rFonts w:ascii="Garamond" w:hAnsi="Garamond"/>
              </w:rPr>
            </w:pPr>
          </w:p>
          <w:p w:rsidR="0026064D" w:rsidRPr="002A33F2" w:rsidRDefault="0026064D" w:rsidP="003A393A">
            <w:pPr>
              <w:rPr>
                <w:rFonts w:ascii="Garamond" w:hAnsi="Garamond"/>
              </w:rPr>
            </w:pPr>
            <w:r w:rsidRPr="002A33F2">
              <w:rPr>
                <w:rFonts w:ascii="Garamond" w:hAnsi="Garamond"/>
              </w:rPr>
              <w:t xml:space="preserve">3.The delegation  of power referred to in </w:t>
            </w:r>
          </w:p>
          <w:p w:rsidR="0026064D" w:rsidRPr="002A33F2" w:rsidRDefault="0026064D" w:rsidP="003A393A">
            <w:pPr>
              <w:ind w:left="360"/>
              <w:rPr>
                <w:rFonts w:ascii="Garamond" w:hAnsi="Garamond"/>
                <w:b/>
                <w:strike/>
              </w:rPr>
            </w:pPr>
            <w:r w:rsidRPr="002A33F2">
              <w:rPr>
                <w:rFonts w:ascii="Garamond" w:hAnsi="Garamond"/>
                <w:b/>
                <w:strike/>
              </w:rPr>
              <w:t xml:space="preserve">Article 6(5), Article 8(3), Article 9(3), </w:t>
            </w:r>
          </w:p>
          <w:p w:rsidR="0026064D" w:rsidRPr="002A33F2" w:rsidRDefault="0026064D" w:rsidP="003A393A">
            <w:pPr>
              <w:ind w:left="360"/>
              <w:rPr>
                <w:rFonts w:ascii="Garamond" w:hAnsi="Garamond"/>
              </w:rPr>
            </w:pPr>
            <w:r w:rsidRPr="002A33F2">
              <w:rPr>
                <w:rFonts w:ascii="Garamond" w:hAnsi="Garamond"/>
              </w:rPr>
              <w:t xml:space="preserve">Article 12(5), </w:t>
            </w:r>
            <w:r w:rsidRPr="002A33F2">
              <w:rPr>
                <w:rFonts w:ascii="Garamond" w:hAnsi="Garamond"/>
                <w:b/>
                <w:i/>
                <w:strike/>
              </w:rPr>
              <w:t xml:space="preserve">Article 14(7), Article 15(3), Article 17(9), Article 20(6), Article 22(4), Article 23(3), Article 26(5), Article 28(5), </w:t>
            </w:r>
            <w:r w:rsidRPr="002A33F2">
              <w:rPr>
                <w:rFonts w:ascii="Garamond" w:hAnsi="Garamond"/>
                <w:strike/>
              </w:rPr>
              <w:t xml:space="preserve">Article 30(3), Article 31(5), Article 32(5), </w:t>
            </w:r>
            <w:r w:rsidRPr="002A33F2">
              <w:rPr>
                <w:rFonts w:ascii="Garamond" w:hAnsi="Garamond"/>
                <w:b/>
                <w:i/>
                <w:strike/>
              </w:rPr>
              <w:t>Article 33(6), Article 34(8), Article 35(11), Article 37(20), Article 39(2),</w:t>
            </w:r>
            <w:r w:rsidRPr="002A33F2">
              <w:rPr>
                <w:rFonts w:ascii="Garamond" w:hAnsi="Garamond"/>
              </w:rPr>
              <w:t xml:space="preserve"> </w:t>
            </w:r>
            <w:r w:rsidRPr="002A33F2">
              <w:rPr>
                <w:rFonts w:ascii="Garamond" w:hAnsi="Garamond"/>
                <w:strike/>
              </w:rPr>
              <w:t>Article 43(3),</w:t>
            </w:r>
            <w:r w:rsidRPr="002A33F2">
              <w:rPr>
                <w:rFonts w:ascii="Garamond" w:hAnsi="Garamond"/>
              </w:rPr>
              <w:t xml:space="preserve"> </w:t>
            </w:r>
            <w:r w:rsidRPr="002A33F2">
              <w:rPr>
                <w:rFonts w:ascii="Garamond" w:hAnsi="Garamond"/>
                <w:b/>
                <w:i/>
                <w:strike/>
                <w:color w:val="000000" w:themeColor="text1"/>
              </w:rPr>
              <w:t>Article 43(4,</w:t>
            </w:r>
            <w:r w:rsidRPr="002A33F2">
              <w:rPr>
                <w:rFonts w:ascii="Garamond" w:hAnsi="Garamond"/>
                <w:b/>
                <w:i/>
                <w:color w:val="000000" w:themeColor="text1"/>
              </w:rPr>
              <w:t xml:space="preserve"> </w:t>
            </w:r>
            <w:r w:rsidRPr="002A33F2">
              <w:rPr>
                <w:rFonts w:ascii="Garamond" w:hAnsi="Garamond"/>
              </w:rPr>
              <w:t xml:space="preserve">Article 44(7), </w:t>
            </w:r>
            <w:r w:rsidRPr="002A33F2">
              <w:rPr>
                <w:rFonts w:ascii="Garamond" w:hAnsi="Garamond"/>
                <w:b/>
                <w:i/>
              </w:rPr>
              <w:t>Article 79(6),</w:t>
            </w:r>
            <w:r w:rsidRPr="002A33F2">
              <w:rPr>
                <w:rFonts w:ascii="Garamond" w:hAnsi="Garamond"/>
              </w:rPr>
              <w:t xml:space="preserve"> Article 81(3), </w:t>
            </w:r>
            <w:r w:rsidRPr="002A33F2">
              <w:rPr>
                <w:rFonts w:ascii="Garamond" w:hAnsi="Garamond"/>
                <w:b/>
                <w:i/>
                <w:color w:val="000000" w:themeColor="text1"/>
              </w:rPr>
              <w:t xml:space="preserve"> </w:t>
            </w:r>
            <w:r w:rsidRPr="002A33F2">
              <w:rPr>
                <w:rFonts w:ascii="Garamond" w:hAnsi="Garamond"/>
                <w:strike/>
                <w:color w:val="000000" w:themeColor="text1"/>
              </w:rPr>
              <w:t>Article 82(3) and Article 83(3</w:t>
            </w:r>
            <w:r w:rsidRPr="002A33F2">
              <w:rPr>
                <w:rFonts w:ascii="Garamond" w:hAnsi="Garamond"/>
                <w:color w:val="000000" w:themeColor="text1"/>
              </w:rPr>
              <w:t>)</w:t>
            </w:r>
            <w:r w:rsidRPr="002A33F2">
              <w:rPr>
                <w:rFonts w:ascii="Garamond" w:hAnsi="Garamond"/>
              </w:rPr>
              <w:t xml:space="preserve"> may be revoked at any time by the European Parliament or by the Council. A decision of revocation shall put an end to the delegation of power specified in that decision. It shall take effect the day following the publication of the decision in the Official Journal of the European Union or at a later date specified therein. It shall not affect the validity of any delegated acts already in force.</w:t>
            </w:r>
          </w:p>
          <w:p w:rsidR="0026064D" w:rsidRPr="002A33F2" w:rsidRDefault="0026064D" w:rsidP="003A393A">
            <w:pPr>
              <w:rPr>
                <w:rFonts w:ascii="Garamond" w:hAnsi="Garamond"/>
              </w:rPr>
            </w:pPr>
          </w:p>
          <w:p w:rsidR="0026064D" w:rsidRPr="002A33F2" w:rsidRDefault="0026064D" w:rsidP="003A393A">
            <w:pPr>
              <w:rPr>
                <w:rFonts w:ascii="Garamond" w:hAnsi="Garamond"/>
              </w:rPr>
            </w:pPr>
          </w:p>
          <w:p w:rsidR="0026064D" w:rsidRPr="002A33F2" w:rsidRDefault="0026064D" w:rsidP="003A393A">
            <w:pPr>
              <w:rPr>
                <w:rFonts w:ascii="Garamond" w:hAnsi="Garamond"/>
              </w:rPr>
            </w:pPr>
            <w:r w:rsidRPr="002A33F2">
              <w:rPr>
                <w:rFonts w:ascii="Garamond" w:hAnsi="Garamond"/>
              </w:rPr>
              <w:t>4. As soon as it adopts a delegated act, the Commission shall notify it simultaneously to the European Parliament and to the Council.</w:t>
            </w:r>
          </w:p>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B676C7" w:rsidRDefault="0026064D" w:rsidP="00B676C7">
            <w:pPr>
              <w:rPr>
                <w:rFonts w:ascii="Garamond" w:hAnsi="Garamond"/>
              </w:rPr>
            </w:pPr>
            <w:r w:rsidRPr="002A33F2">
              <w:rPr>
                <w:rFonts w:ascii="Garamond" w:hAnsi="Garamond"/>
              </w:rPr>
              <w:t xml:space="preserve">     5. A delegated act adopted pursuant to </w:t>
            </w:r>
            <w:r w:rsidRPr="002A33F2">
              <w:rPr>
                <w:rFonts w:ascii="Garamond" w:hAnsi="Garamond"/>
                <w:b/>
                <w:i/>
                <w:strike/>
              </w:rPr>
              <w:t>Article 6(5), Article 8(3), Article 9(3),</w:t>
            </w:r>
            <w:r w:rsidRPr="002A33F2">
              <w:rPr>
                <w:rFonts w:ascii="Garamond" w:hAnsi="Garamond"/>
                <w:color w:val="000000" w:themeColor="text1"/>
              </w:rPr>
              <w:t>Article 12(5),</w:t>
            </w:r>
            <w:r w:rsidRPr="002A33F2">
              <w:rPr>
                <w:rFonts w:ascii="Garamond" w:hAnsi="Garamond"/>
                <w:b/>
                <w:i/>
                <w:color w:val="000000" w:themeColor="text1"/>
              </w:rPr>
              <w:t xml:space="preserve"> ,</w:t>
            </w:r>
            <w:r w:rsidRPr="002A33F2">
              <w:rPr>
                <w:rFonts w:ascii="Garamond" w:hAnsi="Garamond"/>
                <w:b/>
                <w:i/>
              </w:rPr>
              <w:t xml:space="preserve"> </w:t>
            </w:r>
            <w:r w:rsidRPr="002A33F2">
              <w:rPr>
                <w:rFonts w:ascii="Garamond" w:hAnsi="Garamond"/>
                <w:b/>
                <w:i/>
                <w:strike/>
              </w:rPr>
              <w:t>Article 14(7), Article 15(3), Article 17(9), Article 20(6), Article 22(4), Article 23(3), Article 26(5), Article 28(5), Article 30(3), Article 31(5), Article 32(5), Article 33(6), Article 34(8), Article 35(11), Article 37(2), Article 39(2),</w:t>
            </w:r>
            <w:r w:rsidRPr="002A33F2">
              <w:rPr>
                <w:rFonts w:ascii="Garamond" w:hAnsi="Garamond"/>
              </w:rPr>
              <w:t xml:space="preserve"> </w:t>
            </w:r>
            <w:r w:rsidRPr="002A33F2">
              <w:rPr>
                <w:rFonts w:ascii="Garamond" w:hAnsi="Garamond"/>
                <w:b/>
                <w:i/>
                <w:color w:val="000000" w:themeColor="text1"/>
              </w:rPr>
              <w:t xml:space="preserve"> </w:t>
            </w:r>
            <w:r w:rsidRPr="002A33F2">
              <w:rPr>
                <w:rFonts w:ascii="Garamond" w:hAnsi="Garamond"/>
                <w:b/>
                <w:i/>
                <w:strike/>
                <w:color w:val="000000" w:themeColor="text1"/>
              </w:rPr>
              <w:t xml:space="preserve">Article 43(4), </w:t>
            </w:r>
            <w:r w:rsidRPr="002A33F2">
              <w:rPr>
                <w:rFonts w:ascii="Garamond" w:hAnsi="Garamond"/>
                <w:color w:val="000000" w:themeColor="text1"/>
              </w:rPr>
              <w:t xml:space="preserve">Article 44(7), </w:t>
            </w:r>
            <w:r w:rsidRPr="002A33F2">
              <w:rPr>
                <w:rFonts w:ascii="Garamond" w:hAnsi="Garamond"/>
                <w:b/>
                <w:i/>
                <w:strike/>
              </w:rPr>
              <w:t>Article 79(6),</w:t>
            </w:r>
            <w:r w:rsidRPr="002A33F2">
              <w:rPr>
                <w:rFonts w:ascii="Garamond" w:hAnsi="Garamond"/>
              </w:rPr>
              <w:t xml:space="preserve">  </w:t>
            </w:r>
            <w:r w:rsidRPr="002A33F2">
              <w:rPr>
                <w:rFonts w:ascii="Garamond" w:hAnsi="Garamond"/>
                <w:color w:val="000000" w:themeColor="text1"/>
              </w:rPr>
              <w:t xml:space="preserve">Article 81(3), Article </w:t>
            </w:r>
            <w:r w:rsidRPr="002A33F2">
              <w:rPr>
                <w:rFonts w:ascii="Garamond" w:hAnsi="Garamond"/>
                <w:strike/>
                <w:color w:val="000000" w:themeColor="text1"/>
              </w:rPr>
              <w:t>82(3) and Article 83(3)</w:t>
            </w:r>
            <w:r w:rsidRPr="002A33F2">
              <w:rPr>
                <w:rFonts w:ascii="Garamond" w:hAnsi="Garamond"/>
                <w:color w:val="000000" w:themeColor="text1"/>
              </w:rPr>
              <w:t xml:space="preserve"> </w:t>
            </w:r>
            <w:r w:rsidRPr="002A33F2">
              <w:rPr>
                <w:rFonts w:ascii="Garamond" w:hAnsi="Garamond"/>
                <w:b/>
                <w:i/>
                <w:color w:val="000000" w:themeColor="text1"/>
              </w:rPr>
              <w:t xml:space="preserve"> </w:t>
            </w:r>
            <w:r w:rsidRPr="002A33F2">
              <w:rPr>
                <w:rFonts w:ascii="Garamond" w:hAnsi="Garamond"/>
              </w:rPr>
              <w:t>shall enter into force only if no objection has been expressed either by the European Parliament or the Council within a period of two months of notification of that act to the European Parliament and the Council or if, before the expiry of that period, the European Parliament and the Council have both informed the Commission that they will not object. That period shall be extended by two months at the initiative of the European Parliament or the Council.</w:t>
            </w:r>
          </w:p>
        </w:tc>
      </w:tr>
    </w:tbl>
    <w:p w:rsidR="0026064D" w:rsidRDefault="0026064D" w:rsidP="0026064D">
      <w:pPr>
        <w:rPr>
          <w:rFonts w:ascii="Garamond" w:hAnsi="Garamond"/>
          <w:i/>
        </w:rPr>
      </w:pPr>
    </w:p>
    <w:p w:rsidR="00983FB2" w:rsidRPr="002A33F2" w:rsidRDefault="00983FB2" w:rsidP="0026064D">
      <w:pPr>
        <w:rPr>
          <w:rFonts w:ascii="Garamond" w:hAnsi="Garamond"/>
          <w:i/>
        </w:rPr>
      </w:pPr>
    </w:p>
    <w:p w:rsidR="0026064D" w:rsidRPr="0026064D" w:rsidRDefault="0026064D" w:rsidP="0026064D">
      <w:pPr>
        <w:rPr>
          <w:rFonts w:ascii="Garamond" w:hAnsi="Garamond"/>
          <w:b/>
          <w:color w:val="000000" w:themeColor="text1"/>
          <w:sz w:val="28"/>
          <w:u w:val="single"/>
        </w:rPr>
      </w:pPr>
      <w:r w:rsidRPr="0026064D">
        <w:rPr>
          <w:rFonts w:ascii="Garamond" w:hAnsi="Garamond"/>
          <w:b/>
          <w:color w:val="000000" w:themeColor="text1"/>
          <w:sz w:val="28"/>
          <w:u w:val="single"/>
        </w:rPr>
        <w:t>Delegated acts to be maintained</w:t>
      </w:r>
      <w:r w:rsidR="003A393A">
        <w:rPr>
          <w:rFonts w:ascii="Garamond" w:hAnsi="Garamond"/>
          <w:b/>
          <w:color w:val="000000" w:themeColor="text1"/>
          <w:sz w:val="28"/>
          <w:u w:val="single"/>
        </w:rPr>
        <w:t xml:space="preserve"> under certain conditions</w:t>
      </w:r>
    </w:p>
    <w:p w:rsidR="0026064D" w:rsidRPr="002A33F2" w:rsidRDefault="0026064D" w:rsidP="0026064D">
      <w:pPr>
        <w:rPr>
          <w:rFonts w:ascii="Garamond" w:hAnsi="Garamond"/>
          <w:b/>
          <w:color w:val="1F497D" w:themeColor="text2"/>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26064D" w:rsidRPr="002A33F2" w:rsidTr="003A393A">
        <w:tc>
          <w:tcPr>
            <w:tcW w:w="9622" w:type="dxa"/>
            <w:gridSpan w:val="2"/>
            <w:shd w:val="clear" w:color="auto" w:fill="DDD9C3"/>
          </w:tcPr>
          <w:p w:rsidR="0026064D" w:rsidRPr="002A33F2" w:rsidRDefault="0026064D" w:rsidP="003A393A">
            <w:pPr>
              <w:jc w:val="center"/>
              <w:rPr>
                <w:rFonts w:ascii="Garamond" w:hAnsi="Garamond"/>
                <w:b/>
              </w:rPr>
            </w:pPr>
            <w:r w:rsidRPr="002A33F2">
              <w:rPr>
                <w:rFonts w:ascii="Garamond" w:hAnsi="Garamond"/>
                <w:b/>
              </w:rPr>
              <w:t xml:space="preserve">Article 12 </w:t>
            </w:r>
          </w:p>
          <w:p w:rsidR="0026064D" w:rsidRPr="002A33F2" w:rsidRDefault="0026064D" w:rsidP="003A393A">
            <w:pPr>
              <w:jc w:val="center"/>
              <w:rPr>
                <w:rFonts w:ascii="Garamond" w:hAnsi="Garamond"/>
                <w:b/>
              </w:rPr>
            </w:pPr>
            <w:r w:rsidRPr="002A33F2">
              <w:rPr>
                <w:rFonts w:ascii="Garamond" w:hAnsi="Garamond"/>
                <w:b/>
              </w:rPr>
              <w:t>Procedures and mechanisms for exercising the rights of the data subject</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B676C7" w:rsidRDefault="0026064D" w:rsidP="00B676C7">
            <w:pPr>
              <w:autoSpaceDE w:val="0"/>
              <w:autoSpaceDN w:val="0"/>
              <w:adjustRightInd w:val="0"/>
              <w:rPr>
                <w:rFonts w:ascii="Garamond" w:eastAsiaTheme="minorHAnsi" w:hAnsi="Garamond"/>
              </w:rPr>
            </w:pPr>
            <w:r w:rsidRPr="002A33F2">
              <w:rPr>
                <w:rFonts w:ascii="Garamond" w:hAnsi="Garamond"/>
              </w:rPr>
              <w:t xml:space="preserve">2. </w:t>
            </w:r>
            <w:r w:rsidRPr="002A33F2">
              <w:rPr>
                <w:rFonts w:ascii="Garamond" w:eastAsiaTheme="minorHAnsi" w:hAnsi="Garamond"/>
              </w:rPr>
              <w:t>The Commission shall be empowered to adopt delegated acts in accordance with Article 86 for the purpose of further specifying the criteria and conditions for the manifestly excessive requests and the fees referred to in paragraph 4.</w:t>
            </w: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3A393A" w:rsidP="003A393A">
            <w:pPr>
              <w:overflowPunct/>
              <w:autoSpaceDE w:val="0"/>
              <w:autoSpaceDN w:val="0"/>
              <w:adjustRightInd w:val="0"/>
              <w:rPr>
                <w:rFonts w:ascii="Garamond" w:eastAsia="Calibri" w:hAnsi="Garamond" w:cs="Calibri"/>
                <w:b/>
                <w:i/>
                <w:iCs/>
                <w:lang w:eastAsia="en-US"/>
              </w:rPr>
            </w:pPr>
            <w:r>
              <w:rPr>
                <w:rFonts w:ascii="Garamond" w:eastAsia="Calibri" w:hAnsi="Garamond" w:cs="Calibri"/>
                <w:b/>
                <w:i/>
                <w:iCs/>
                <w:sz w:val="22"/>
                <w:szCs w:val="22"/>
                <w:lang w:eastAsia="en-US"/>
              </w:rPr>
              <w:t>Maintain under certain conditions otherwise delete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2A33F2" w:rsidRDefault="0026064D" w:rsidP="003A393A">
            <w:pPr>
              <w:tabs>
                <w:tab w:val="left" w:pos="3390"/>
              </w:tabs>
              <w:overflowPunct/>
              <w:autoSpaceDE w:val="0"/>
              <w:autoSpaceDN w:val="0"/>
              <w:adjustRightInd w:val="0"/>
              <w:rPr>
                <w:rFonts w:ascii="Garamond" w:eastAsia="Calibri" w:hAnsi="Garamond" w:cs="Tahoma"/>
                <w:lang w:eastAsia="en-US"/>
              </w:rPr>
            </w:pPr>
            <w:r w:rsidRPr="002A33F2">
              <w:rPr>
                <w:rFonts w:ascii="Garamond" w:hAnsi="Garamond"/>
              </w:rPr>
              <w:t>Adoption of clarifying measures for specifying criteria and conditions for excessive requests as well as fees could be envisioned by delegated acts as long as such measures do not add additional cumbersome criteria and processes for controllers</w:t>
            </w:r>
            <w:r>
              <w:rPr>
                <w:rFonts w:ascii="Garamond" w:hAnsi="Garamond"/>
              </w:rPr>
              <w:t xml:space="preserve">. </w:t>
            </w:r>
            <w:r w:rsidRPr="00431DDD">
              <w:rPr>
                <w:rFonts w:ascii="Garamond" w:hAnsi="Garamond"/>
              </w:rPr>
              <w:t>The adoption of clarifying measures should be subject to a clear timetable. Without a clear timeline for adoption data controllers, processors and data subjects could face a lengthy period of uncertainty about their obligations and their rights</w:t>
            </w:r>
            <w:r>
              <w:rPr>
                <w:rFonts w:ascii="Garamond" w:hAnsi="Garamond"/>
              </w:rPr>
              <w:t>.</w:t>
            </w:r>
          </w:p>
        </w:tc>
      </w:tr>
    </w:tbl>
    <w:p w:rsidR="0026064D" w:rsidRPr="002A33F2" w:rsidRDefault="0026064D" w:rsidP="0026064D">
      <w:pPr>
        <w:rPr>
          <w:rFonts w:ascii="Garamond" w:hAnsi="Garamond"/>
          <w:i/>
        </w:rPr>
      </w:pPr>
    </w:p>
    <w:p w:rsidR="0026064D" w:rsidRPr="002A33F2" w:rsidRDefault="0026064D" w:rsidP="0026064D">
      <w:pPr>
        <w:rPr>
          <w:rFonts w:ascii="Garamond" w:hAnsi="Garamond"/>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26064D" w:rsidRPr="002A33F2" w:rsidTr="003A393A">
        <w:tc>
          <w:tcPr>
            <w:tcW w:w="9622" w:type="dxa"/>
            <w:gridSpan w:val="2"/>
            <w:shd w:val="clear" w:color="auto" w:fill="DDD9C3"/>
          </w:tcPr>
          <w:p w:rsidR="0026064D" w:rsidRPr="002A33F2" w:rsidRDefault="0026064D" w:rsidP="003A393A">
            <w:pPr>
              <w:jc w:val="center"/>
              <w:rPr>
                <w:rFonts w:ascii="Garamond" w:hAnsi="Garamond"/>
                <w:b/>
              </w:rPr>
            </w:pPr>
            <w:r w:rsidRPr="002A33F2">
              <w:rPr>
                <w:rFonts w:ascii="Garamond" w:hAnsi="Garamond"/>
                <w:b/>
              </w:rPr>
              <w:t xml:space="preserve">Article 81 </w:t>
            </w:r>
          </w:p>
          <w:p w:rsidR="0026064D" w:rsidRPr="002A33F2" w:rsidRDefault="0026064D" w:rsidP="003A393A">
            <w:pPr>
              <w:jc w:val="center"/>
              <w:rPr>
                <w:rFonts w:ascii="Garamond" w:hAnsi="Garamond"/>
                <w:b/>
              </w:rPr>
            </w:pPr>
            <w:r w:rsidRPr="002A33F2">
              <w:rPr>
                <w:rFonts w:ascii="Garamond" w:hAnsi="Garamond"/>
                <w:b/>
              </w:rPr>
              <w:t>Processing of personal data concerning health</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B676C7" w:rsidRDefault="0026064D" w:rsidP="00B676C7">
            <w:pPr>
              <w:autoSpaceDE w:val="0"/>
              <w:autoSpaceDN w:val="0"/>
              <w:adjustRightInd w:val="0"/>
              <w:rPr>
                <w:rFonts w:ascii="Garamond" w:eastAsiaTheme="minorHAnsi" w:hAnsi="Garamond"/>
              </w:rPr>
            </w:pPr>
            <w:r w:rsidRPr="002A33F2">
              <w:rPr>
                <w:rFonts w:ascii="Garamond" w:hAnsi="Garamond"/>
              </w:rPr>
              <w:t xml:space="preserve">3.   </w:t>
            </w:r>
            <w:r w:rsidRPr="002A33F2">
              <w:rPr>
                <w:rFonts w:ascii="Garamond" w:eastAsiaTheme="minorHAnsi" w:hAnsi="Garamond"/>
              </w:rPr>
              <w:t>The Commission shall be empowered to adopt delegated acts in accordance with Article 86 for the purpose of further specifying other reasons of public interest in the area of public health as referred to in point (b) of paragraph 1, as well as criteria and requirements for the safeguards for the processing of personal data for the purposes referred to in paragraph 1.</w:t>
            </w: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3A393A" w:rsidP="003A393A">
            <w:pPr>
              <w:overflowPunct/>
              <w:autoSpaceDE w:val="0"/>
              <w:autoSpaceDN w:val="0"/>
              <w:adjustRightInd w:val="0"/>
              <w:rPr>
                <w:rFonts w:ascii="Garamond" w:eastAsia="Calibri" w:hAnsi="Garamond" w:cs="Calibri"/>
                <w:b/>
                <w:iCs/>
                <w:strike/>
                <w:lang w:eastAsia="en-US"/>
              </w:rPr>
            </w:pPr>
            <w:r>
              <w:rPr>
                <w:rFonts w:ascii="Garamond" w:eastAsia="Calibri" w:hAnsi="Garamond" w:cs="Calibri"/>
                <w:b/>
                <w:i/>
                <w:iCs/>
                <w:sz w:val="22"/>
                <w:szCs w:val="22"/>
                <w:lang w:eastAsia="en-US"/>
              </w:rPr>
              <w:t>Maintain under certain conditions otherwise delete</w:t>
            </w: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2A33F2" w:rsidRDefault="0026064D" w:rsidP="003A393A">
            <w:pPr>
              <w:rPr>
                <w:rFonts w:ascii="Garamond" w:eastAsia="Calibri" w:hAnsi="Garamond" w:cs="Tahoma"/>
                <w:lang w:eastAsia="en-US"/>
              </w:rPr>
            </w:pPr>
            <w:r w:rsidRPr="002A33F2">
              <w:rPr>
                <w:rFonts w:ascii="Garamond" w:hAnsi="Garamond"/>
              </w:rPr>
              <w:t>Adoption of clarifying measures for public health could be envisioned by delegated acts as long as such measures remain strictly limited to harmonizing public interest grounds.</w:t>
            </w:r>
            <w:r>
              <w:rPr>
                <w:rFonts w:ascii="Garamond" w:hAnsi="Garamond"/>
              </w:rPr>
              <w:t xml:space="preserve"> </w:t>
            </w:r>
            <w:r w:rsidRPr="00431DDD">
              <w:rPr>
                <w:rFonts w:ascii="Garamond" w:hAnsi="Garamond"/>
              </w:rPr>
              <w:t>The adoption of clarifying measures should be subject to a clear timetable. Without a clear timeline for adoption data controllers, processors and data subjects could face a lengthy period of uncertainty about their obligations and their rights</w:t>
            </w:r>
            <w:r>
              <w:rPr>
                <w:rFonts w:ascii="Garamond" w:hAnsi="Garamond"/>
              </w:rPr>
              <w:t>.</w:t>
            </w:r>
          </w:p>
        </w:tc>
      </w:tr>
    </w:tbl>
    <w:p w:rsidR="0026064D" w:rsidRDefault="0026064D" w:rsidP="0026064D">
      <w:pPr>
        <w:rPr>
          <w:rFonts w:ascii="Garamond" w:hAnsi="Garamond"/>
          <w:b/>
          <w:color w:val="000000" w:themeColor="text1"/>
          <w:u w:val="single"/>
        </w:rPr>
      </w:pPr>
    </w:p>
    <w:p w:rsidR="00A02E36" w:rsidRDefault="00A02E36" w:rsidP="0026064D">
      <w:pPr>
        <w:rPr>
          <w:rFonts w:ascii="Garamond" w:hAnsi="Garamond"/>
          <w:b/>
          <w:color w:val="000000" w:themeColor="text1"/>
          <w:u w:val="single"/>
        </w:rPr>
      </w:pPr>
    </w:p>
    <w:p w:rsidR="009C61DB" w:rsidRDefault="009C61DB" w:rsidP="0026064D">
      <w:pPr>
        <w:rPr>
          <w:rFonts w:ascii="Garamond" w:hAnsi="Garamond"/>
          <w:b/>
          <w:color w:val="000000" w:themeColor="text1"/>
          <w:u w:val="single"/>
        </w:rPr>
      </w:pPr>
    </w:p>
    <w:p w:rsidR="00A02E36" w:rsidRPr="002A33F2" w:rsidRDefault="00A02E36" w:rsidP="0026064D">
      <w:pPr>
        <w:rPr>
          <w:rFonts w:ascii="Garamond" w:hAnsi="Garamond"/>
          <w:b/>
          <w:color w:val="000000" w:themeColor="text1"/>
          <w:u w:val="single"/>
        </w:rPr>
      </w:pPr>
    </w:p>
    <w:p w:rsidR="0026064D" w:rsidRPr="0026064D" w:rsidRDefault="0026064D" w:rsidP="0026064D">
      <w:pPr>
        <w:rPr>
          <w:rFonts w:ascii="Garamond" w:hAnsi="Garamond"/>
          <w:b/>
          <w:color w:val="000000" w:themeColor="text1"/>
          <w:sz w:val="28"/>
          <w:u w:val="single"/>
        </w:rPr>
      </w:pPr>
      <w:r w:rsidRPr="0026064D">
        <w:rPr>
          <w:rFonts w:ascii="Garamond" w:hAnsi="Garamond"/>
          <w:b/>
          <w:color w:val="000000" w:themeColor="text1"/>
          <w:sz w:val="28"/>
          <w:u w:val="single"/>
        </w:rPr>
        <w:t xml:space="preserve">Delegated acts where </w:t>
      </w:r>
      <w:r w:rsidR="00B676C7">
        <w:rPr>
          <w:rFonts w:ascii="Garamond" w:hAnsi="Garamond"/>
          <w:b/>
          <w:color w:val="000000" w:themeColor="text1"/>
          <w:sz w:val="28"/>
          <w:u w:val="single"/>
        </w:rPr>
        <w:t>AGORIA is</w:t>
      </w:r>
      <w:r w:rsidRPr="0026064D">
        <w:rPr>
          <w:rFonts w:ascii="Garamond" w:hAnsi="Garamond"/>
          <w:b/>
          <w:color w:val="000000" w:themeColor="text1"/>
          <w:sz w:val="28"/>
          <w:u w:val="single"/>
        </w:rPr>
        <w:t xml:space="preserve"> neutral </w:t>
      </w:r>
      <w:bookmarkStart w:id="0" w:name="_GoBack"/>
      <w:bookmarkEnd w:id="0"/>
    </w:p>
    <w:p w:rsidR="0026064D" w:rsidRPr="002A33F2" w:rsidRDefault="0026064D" w:rsidP="0026064D">
      <w:pPr>
        <w:rPr>
          <w:rFonts w:ascii="Garamond" w:hAnsi="Garamond"/>
          <w:b/>
          <w:color w:val="1F497D" w:themeColor="text2"/>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9"/>
        <w:gridCol w:w="4787"/>
      </w:tblGrid>
      <w:tr w:rsidR="0026064D" w:rsidRPr="002A33F2" w:rsidTr="003A393A">
        <w:tc>
          <w:tcPr>
            <w:tcW w:w="9622" w:type="dxa"/>
            <w:gridSpan w:val="2"/>
            <w:shd w:val="clear" w:color="auto" w:fill="DDD9C3"/>
          </w:tcPr>
          <w:p w:rsidR="0026064D" w:rsidRPr="002A33F2" w:rsidRDefault="0026064D" w:rsidP="003A393A">
            <w:pPr>
              <w:jc w:val="center"/>
              <w:rPr>
                <w:rFonts w:ascii="Garamond" w:hAnsi="Garamond"/>
                <w:b/>
              </w:rPr>
            </w:pPr>
            <w:r w:rsidRPr="002A33F2">
              <w:rPr>
                <w:rFonts w:ascii="Garamond" w:hAnsi="Garamond"/>
                <w:b/>
              </w:rPr>
              <w:t>Article 43</w:t>
            </w:r>
          </w:p>
          <w:p w:rsidR="0026064D" w:rsidRPr="002A33F2" w:rsidRDefault="0026064D" w:rsidP="003A393A">
            <w:pPr>
              <w:jc w:val="center"/>
              <w:rPr>
                <w:rFonts w:ascii="Garamond" w:hAnsi="Garamond"/>
                <w:b/>
              </w:rPr>
            </w:pPr>
            <w:r w:rsidRPr="002A33F2">
              <w:rPr>
                <w:rFonts w:ascii="Garamond" w:hAnsi="Garamond"/>
                <w:b/>
              </w:rPr>
              <w:t>Transfers by way of binding corporate rules</w:t>
            </w:r>
          </w:p>
          <w:p w:rsidR="0026064D" w:rsidRPr="002A33F2" w:rsidRDefault="0026064D" w:rsidP="003A393A">
            <w:pPr>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2A33F2" w:rsidRDefault="0026064D" w:rsidP="003A393A">
            <w:pPr>
              <w:autoSpaceDE w:val="0"/>
              <w:autoSpaceDN w:val="0"/>
              <w:adjustRightInd w:val="0"/>
              <w:rPr>
                <w:rFonts w:ascii="Garamond" w:eastAsiaTheme="minorHAnsi" w:hAnsi="Garamond"/>
                <w:b/>
              </w:rPr>
            </w:pPr>
          </w:p>
          <w:p w:rsidR="0026064D" w:rsidRPr="00B676C7" w:rsidRDefault="0026064D" w:rsidP="00B676C7">
            <w:pPr>
              <w:autoSpaceDE w:val="0"/>
              <w:autoSpaceDN w:val="0"/>
              <w:adjustRightInd w:val="0"/>
              <w:rPr>
                <w:rFonts w:ascii="Garamond" w:hAnsi="Garamond"/>
              </w:rPr>
            </w:pPr>
            <w:r w:rsidRPr="002A33F2">
              <w:rPr>
                <w:rFonts w:ascii="Garamond" w:eastAsiaTheme="minorHAnsi" w:hAnsi="Garamond"/>
              </w:rPr>
              <w:t>4. The Commission may specify the format and procedures for the exchange of information by electronic means between controllers, processors and supervisory authorities for binding corporate rules within the meaning of this Article. Those implementing acts shall be adopted in accordance with the examination procedure set out in Article 87(2).</w:t>
            </w: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Cs/>
                <w:strike/>
                <w:lang w:eastAsia="en-US"/>
              </w:rPr>
            </w:pP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c>
          <w:tcPr>
            <w:tcW w:w="9622" w:type="dxa"/>
            <w:gridSpan w:val="2"/>
          </w:tcPr>
          <w:p w:rsidR="0026064D" w:rsidRPr="002A33F2" w:rsidRDefault="0026064D" w:rsidP="003A393A">
            <w:pPr>
              <w:rPr>
                <w:rFonts w:ascii="Garamond" w:eastAsia="Calibri" w:hAnsi="Garamond" w:cs="Tahoma"/>
                <w:i/>
                <w:lang w:eastAsia="en-US"/>
              </w:rPr>
            </w:pPr>
          </w:p>
        </w:tc>
      </w:tr>
    </w:tbl>
    <w:p w:rsidR="0026064D" w:rsidRPr="002A33F2" w:rsidRDefault="0026064D" w:rsidP="0026064D">
      <w:pPr>
        <w:rPr>
          <w:rFonts w:ascii="Garamond" w:hAnsi="Garamond"/>
          <w:b/>
          <w:color w:val="000000" w:themeColor="text1"/>
          <w:u w:val="single"/>
        </w:rPr>
      </w:pPr>
    </w:p>
    <w:p w:rsidR="0026064D" w:rsidRPr="002A33F2" w:rsidRDefault="0026064D" w:rsidP="0026064D">
      <w:pPr>
        <w:rPr>
          <w:rFonts w:ascii="Garamond" w:hAnsi="Garamond"/>
          <w:b/>
          <w:color w:val="1F497D" w:themeColor="text2"/>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26064D" w:rsidRPr="002A33F2" w:rsidTr="003A393A">
        <w:tc>
          <w:tcPr>
            <w:tcW w:w="9622" w:type="dxa"/>
            <w:gridSpan w:val="2"/>
            <w:shd w:val="clear" w:color="auto" w:fill="DDD9C3"/>
          </w:tcPr>
          <w:p w:rsidR="0026064D" w:rsidRPr="002A33F2" w:rsidRDefault="0026064D" w:rsidP="003A393A">
            <w:pPr>
              <w:jc w:val="center"/>
              <w:rPr>
                <w:rFonts w:ascii="Garamond" w:hAnsi="Garamond"/>
                <w:b/>
              </w:rPr>
            </w:pPr>
            <w:r w:rsidRPr="002A33F2">
              <w:rPr>
                <w:rFonts w:ascii="Garamond" w:hAnsi="Garamond"/>
                <w:b/>
              </w:rPr>
              <w:t xml:space="preserve">Article 44 </w:t>
            </w:r>
          </w:p>
          <w:p w:rsidR="0026064D" w:rsidRPr="002A33F2" w:rsidRDefault="0026064D" w:rsidP="003A393A">
            <w:pPr>
              <w:jc w:val="center"/>
              <w:rPr>
                <w:rFonts w:ascii="Garamond" w:hAnsi="Garamond"/>
                <w:b/>
              </w:rPr>
            </w:pPr>
            <w:r w:rsidRPr="002A33F2">
              <w:rPr>
                <w:rFonts w:ascii="Garamond" w:hAnsi="Garamond"/>
                <w:b/>
              </w:rPr>
              <w:t>Derogations</w:t>
            </w:r>
          </w:p>
          <w:p w:rsidR="0026064D" w:rsidRPr="002A33F2" w:rsidRDefault="0026064D" w:rsidP="003A393A">
            <w:pPr>
              <w:autoSpaceDE w:val="0"/>
              <w:autoSpaceDN w:val="0"/>
              <w:adjustRightInd w:val="0"/>
              <w:jc w:val="center"/>
              <w:rPr>
                <w:rFonts w:ascii="Garamond" w:eastAsia="Calibri" w:hAnsi="Garamond" w:cs="Tahoma"/>
                <w:b/>
                <w:lang w:eastAsia="en-US"/>
              </w:rPr>
            </w:pPr>
          </w:p>
        </w:tc>
      </w:tr>
      <w:tr w:rsidR="0026064D" w:rsidRPr="002A33F2" w:rsidTr="003A393A">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Commission Proposal</w:t>
            </w:r>
          </w:p>
        </w:tc>
        <w:tc>
          <w:tcPr>
            <w:tcW w:w="4811" w:type="dxa"/>
          </w:tcPr>
          <w:p w:rsidR="0026064D" w:rsidRPr="002A33F2" w:rsidRDefault="0026064D" w:rsidP="003A393A">
            <w:pPr>
              <w:overflowPunct/>
              <w:autoSpaceDE w:val="0"/>
              <w:autoSpaceDN w:val="0"/>
              <w:adjustRightInd w:val="0"/>
              <w:jc w:val="center"/>
              <w:rPr>
                <w:rFonts w:ascii="Garamond" w:eastAsia="Calibri" w:hAnsi="Garamond" w:cs="Calibri"/>
                <w:b/>
                <w:iCs/>
                <w:lang w:eastAsia="en-US"/>
              </w:rPr>
            </w:pPr>
            <w:r w:rsidRPr="002A33F2">
              <w:rPr>
                <w:rFonts w:ascii="Garamond" w:eastAsia="Calibri" w:hAnsi="Garamond" w:cs="Calibri"/>
                <w:b/>
                <w:iCs/>
                <w:sz w:val="22"/>
                <w:szCs w:val="22"/>
                <w:lang w:eastAsia="en-US"/>
              </w:rPr>
              <w:t>Proposed amendment</w:t>
            </w:r>
          </w:p>
        </w:tc>
      </w:tr>
      <w:tr w:rsidR="0026064D" w:rsidRPr="002A33F2" w:rsidTr="003A393A">
        <w:tc>
          <w:tcPr>
            <w:tcW w:w="4811" w:type="dxa"/>
          </w:tcPr>
          <w:p w:rsidR="0026064D" w:rsidRPr="002A33F2" w:rsidRDefault="0026064D" w:rsidP="003A393A">
            <w:pPr>
              <w:autoSpaceDE w:val="0"/>
              <w:autoSpaceDN w:val="0"/>
              <w:adjustRightInd w:val="0"/>
              <w:rPr>
                <w:rFonts w:ascii="Garamond" w:eastAsiaTheme="minorHAnsi" w:hAnsi="Garamond"/>
              </w:rPr>
            </w:pPr>
            <w:r w:rsidRPr="002A33F2">
              <w:rPr>
                <w:rFonts w:ascii="Garamond" w:hAnsi="Garamond"/>
              </w:rPr>
              <w:t xml:space="preserve">7. </w:t>
            </w:r>
            <w:r w:rsidRPr="002A33F2">
              <w:rPr>
                <w:rFonts w:ascii="Garamond" w:eastAsiaTheme="minorHAnsi" w:hAnsi="Garamond"/>
              </w:rPr>
              <w:t>The Commission shall be empowered to adopt delegated acts in accordance with Article 86 for the purpose of further specifying 'important grounds of public interest' within the meaning of point (d) of paragraph 1 as well as the criteria and requirements for appropriate safeguards referred to in point (h) of paragraph 1</w:t>
            </w:r>
          </w:p>
          <w:p w:rsidR="0026064D" w:rsidRPr="002A33F2" w:rsidRDefault="0026064D" w:rsidP="003A393A">
            <w:pPr>
              <w:overflowPunct/>
              <w:autoSpaceDE w:val="0"/>
              <w:autoSpaceDN w:val="0"/>
              <w:adjustRightInd w:val="0"/>
              <w:rPr>
                <w:rFonts w:ascii="Garamond" w:eastAsia="Calibri" w:hAnsi="Garamond" w:cs="Calibri"/>
                <w:iCs/>
                <w:lang w:eastAsia="en-US"/>
              </w:rPr>
            </w:pPr>
          </w:p>
        </w:tc>
        <w:tc>
          <w:tcPr>
            <w:tcW w:w="4811" w:type="dxa"/>
          </w:tcPr>
          <w:p w:rsidR="0026064D" w:rsidRPr="002A33F2" w:rsidRDefault="0026064D" w:rsidP="003A393A">
            <w:pPr>
              <w:overflowPunct/>
              <w:autoSpaceDE w:val="0"/>
              <w:autoSpaceDN w:val="0"/>
              <w:adjustRightInd w:val="0"/>
              <w:rPr>
                <w:rFonts w:ascii="Garamond" w:eastAsia="Calibri" w:hAnsi="Garamond" w:cs="Calibri"/>
                <w:iCs/>
                <w:lang w:eastAsia="en-US"/>
              </w:rPr>
            </w:pPr>
          </w:p>
          <w:p w:rsidR="0026064D" w:rsidRPr="002A33F2" w:rsidRDefault="0026064D" w:rsidP="003A393A">
            <w:pPr>
              <w:overflowPunct/>
              <w:autoSpaceDE w:val="0"/>
              <w:autoSpaceDN w:val="0"/>
              <w:adjustRightInd w:val="0"/>
              <w:rPr>
                <w:rFonts w:ascii="Garamond" w:eastAsia="Calibri" w:hAnsi="Garamond" w:cs="Calibri"/>
                <w:b/>
                <w:iCs/>
                <w:strike/>
                <w:lang w:eastAsia="en-US"/>
              </w:rPr>
            </w:pPr>
          </w:p>
        </w:tc>
      </w:tr>
      <w:tr w:rsidR="0026064D" w:rsidRPr="002A33F2" w:rsidTr="003A393A">
        <w:trPr>
          <w:trHeight w:val="427"/>
        </w:trPr>
        <w:tc>
          <w:tcPr>
            <w:tcW w:w="9622" w:type="dxa"/>
            <w:gridSpan w:val="2"/>
          </w:tcPr>
          <w:p w:rsidR="0026064D" w:rsidRPr="002A33F2" w:rsidRDefault="0026064D" w:rsidP="003A393A">
            <w:pPr>
              <w:overflowPunct/>
              <w:autoSpaceDE w:val="0"/>
              <w:autoSpaceDN w:val="0"/>
              <w:adjustRightInd w:val="0"/>
              <w:jc w:val="center"/>
              <w:rPr>
                <w:rFonts w:ascii="Garamond" w:eastAsia="Calibri" w:hAnsi="Garamond" w:cs="Calibri"/>
                <w:b/>
                <w:i/>
                <w:iCs/>
                <w:lang w:eastAsia="en-US"/>
              </w:rPr>
            </w:pPr>
            <w:r w:rsidRPr="002A33F2">
              <w:rPr>
                <w:rFonts w:ascii="Garamond" w:eastAsia="Calibri" w:hAnsi="Garamond" w:cs="Calibri"/>
                <w:b/>
                <w:i/>
                <w:iCs/>
                <w:sz w:val="22"/>
                <w:szCs w:val="22"/>
                <w:lang w:eastAsia="en-US"/>
              </w:rPr>
              <w:t>Justification</w:t>
            </w:r>
          </w:p>
        </w:tc>
      </w:tr>
      <w:tr w:rsidR="0026064D" w:rsidRPr="002A33F2" w:rsidTr="003A393A">
        <w:trPr>
          <w:trHeight w:val="427"/>
        </w:trPr>
        <w:tc>
          <w:tcPr>
            <w:tcW w:w="9622" w:type="dxa"/>
            <w:gridSpan w:val="2"/>
            <w:tcBorders>
              <w:top w:val="single" w:sz="4" w:space="0" w:color="auto"/>
              <w:left w:val="single" w:sz="4" w:space="0" w:color="auto"/>
              <w:bottom w:val="single" w:sz="4" w:space="0" w:color="auto"/>
              <w:right w:val="single" w:sz="4" w:space="0" w:color="auto"/>
            </w:tcBorders>
          </w:tcPr>
          <w:p w:rsidR="0026064D" w:rsidRPr="002A33F2" w:rsidRDefault="0026064D" w:rsidP="003A393A">
            <w:pPr>
              <w:overflowPunct/>
              <w:autoSpaceDE w:val="0"/>
              <w:autoSpaceDN w:val="0"/>
              <w:adjustRightInd w:val="0"/>
              <w:rPr>
                <w:rFonts w:ascii="Garamond" w:eastAsia="Calibri" w:hAnsi="Garamond" w:cs="Calibri"/>
                <w:b/>
                <w:i/>
                <w:iCs/>
                <w:lang w:eastAsia="en-US"/>
              </w:rPr>
            </w:pPr>
            <w:r w:rsidRPr="00431DDD">
              <w:rPr>
                <w:rFonts w:ascii="Garamond" w:hAnsi="Garamond"/>
              </w:rPr>
              <w:t>The adoption of clarifying measures should be subject to a clear timetable. Without a clear timeline for adoption data controllers, processors and data subjects could face a lengthy period of uncertainty about their obligations and their rights</w:t>
            </w:r>
            <w:r>
              <w:rPr>
                <w:rFonts w:ascii="Garamond" w:hAnsi="Garamond"/>
              </w:rPr>
              <w:t>.</w:t>
            </w:r>
          </w:p>
        </w:tc>
      </w:tr>
    </w:tbl>
    <w:p w:rsidR="0026064D" w:rsidRDefault="0026064D" w:rsidP="0026064D">
      <w:pPr>
        <w:rPr>
          <w:rFonts w:ascii="Garamond" w:hAnsi="Garamond"/>
          <w:b/>
          <w:color w:val="000000" w:themeColor="text1"/>
          <w:u w:val="single"/>
        </w:rPr>
      </w:pPr>
    </w:p>
    <w:p w:rsidR="00B676C7" w:rsidRDefault="00B676C7" w:rsidP="0026064D">
      <w:pPr>
        <w:rPr>
          <w:rFonts w:ascii="Garamond" w:hAnsi="Garamond"/>
          <w:b/>
          <w:color w:val="000000" w:themeColor="text1"/>
          <w:u w:val="single"/>
        </w:rPr>
      </w:pPr>
    </w:p>
    <w:p w:rsidR="004D1540" w:rsidRDefault="004D1540" w:rsidP="0026064D">
      <w:pPr>
        <w:rPr>
          <w:rFonts w:ascii="Garamond" w:hAnsi="Garamond"/>
          <w:b/>
          <w:color w:val="000000" w:themeColor="text1"/>
          <w:u w:val="single"/>
        </w:rPr>
      </w:pPr>
    </w:p>
    <w:p w:rsidR="004D1540" w:rsidRDefault="004D1540" w:rsidP="0026064D">
      <w:pPr>
        <w:rPr>
          <w:rFonts w:ascii="Garamond" w:hAnsi="Garamond"/>
          <w:b/>
          <w:color w:val="000000" w:themeColor="text1"/>
          <w:u w:val="single"/>
        </w:rPr>
      </w:pPr>
    </w:p>
    <w:p w:rsidR="004D1540" w:rsidRDefault="004D1540" w:rsidP="0026064D">
      <w:pPr>
        <w:rPr>
          <w:rFonts w:ascii="Garamond" w:hAnsi="Garamond"/>
          <w:b/>
          <w:color w:val="000000" w:themeColor="text1"/>
          <w:u w:val="single"/>
        </w:rPr>
      </w:pPr>
    </w:p>
    <w:p w:rsidR="004D1540" w:rsidRDefault="004D1540" w:rsidP="0026064D">
      <w:pPr>
        <w:rPr>
          <w:rFonts w:ascii="Garamond" w:hAnsi="Garamond"/>
          <w:b/>
          <w:color w:val="000000" w:themeColor="text1"/>
          <w:u w:val="single"/>
        </w:rPr>
      </w:pPr>
    </w:p>
    <w:p w:rsidR="004D1540" w:rsidRPr="002A33F2" w:rsidRDefault="004D1540" w:rsidP="0026064D">
      <w:pPr>
        <w:rPr>
          <w:rFonts w:ascii="Garamond" w:hAnsi="Garamond"/>
          <w:b/>
          <w:color w:val="000000" w:themeColor="text1"/>
          <w:u w:val="single"/>
        </w:rPr>
      </w:pPr>
    </w:p>
    <w:p w:rsidR="00B676C7" w:rsidRPr="00B676C7" w:rsidRDefault="00B676C7" w:rsidP="00B676C7">
      <w:pPr>
        <w:rPr>
          <w:rFonts w:ascii="Garamond" w:hAnsi="Garamond" w:cs="Arial"/>
        </w:rPr>
      </w:pPr>
      <w:r w:rsidRPr="00B676C7">
        <w:rPr>
          <w:rFonts w:ascii="Garamond" w:hAnsi="Garamond" w:cs="Arial"/>
        </w:rPr>
        <w:t>About AGORIA:</w:t>
      </w:r>
    </w:p>
    <w:p w:rsidR="00B676C7" w:rsidRPr="00B676C7" w:rsidRDefault="00B676C7" w:rsidP="00B676C7">
      <w:pPr>
        <w:spacing w:before="100" w:beforeAutospacing="1" w:after="100" w:afterAutospacing="1"/>
        <w:jc w:val="both"/>
        <w:rPr>
          <w:rFonts w:ascii="Garamond" w:hAnsi="Garamond" w:cs="Arial"/>
        </w:rPr>
      </w:pPr>
      <w:r w:rsidRPr="00B676C7">
        <w:rPr>
          <w:rFonts w:ascii="Garamond" w:hAnsi="Garamond" w:cs="Arial"/>
        </w:rPr>
        <w:t xml:space="preserve">AGORIA is Belgium’s largest employers’ organization and trade association. </w:t>
      </w:r>
      <w:r w:rsidRPr="00B676C7">
        <w:rPr>
          <w:rFonts w:ascii="Garamond" w:hAnsi="Garamond" w:cs="Arial"/>
          <w:iCs/>
        </w:rPr>
        <w:t>The mission of AGORIA is to make every effort to serve its members, bringing all its influence to bear to improve the social and economic environment in which they operate.</w:t>
      </w:r>
      <w:r w:rsidRPr="00B676C7">
        <w:rPr>
          <w:rFonts w:ascii="Garamond" w:hAnsi="Garamond" w:cs="Arial"/>
        </w:rPr>
        <w:t xml:space="preserve"> AGORIA represents and helps more than 1.600 companies in the technology industry. 80% of the members are SMEs and 900 members have a subsidiary abroad. AGORIA represents 13 sectors from the “</w:t>
      </w:r>
      <w:proofErr w:type="gramStart"/>
      <w:r w:rsidRPr="00B676C7">
        <w:rPr>
          <w:rFonts w:ascii="Garamond" w:hAnsi="Garamond" w:cs="Arial"/>
        </w:rPr>
        <w:t>A</w:t>
      </w:r>
      <w:proofErr w:type="gramEnd"/>
      <w:r w:rsidRPr="00B676C7">
        <w:rPr>
          <w:rFonts w:ascii="Garamond" w:hAnsi="Garamond" w:cs="Arial"/>
        </w:rPr>
        <w:t>” in automotive industry to the “S” in security and defence. The 4 products offered are networking, collective actions, lobbying and individual services. AGORIA represents 283.100 employees, which is 11% of the private employment in Belgium, and has a turnover of 73 billion €. The export rate amounts 74% which is 31% of the Belgian exports.</w:t>
      </w:r>
    </w:p>
    <w:sectPr w:rsidR="00B676C7" w:rsidRPr="00B676C7" w:rsidSect="0069640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B44" w:rsidRDefault="00410B44" w:rsidP="00B676C7">
      <w:r>
        <w:separator/>
      </w:r>
    </w:p>
  </w:endnote>
  <w:endnote w:type="continuationSeparator" w:id="0">
    <w:p w:rsidR="00410B44" w:rsidRDefault="00410B44" w:rsidP="00B676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UAlbertin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New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18"/>
        <w:szCs w:val="18"/>
      </w:rPr>
      <w:id w:val="8292468"/>
      <w:docPartObj>
        <w:docPartGallery w:val="Page Numbers (Bottom of Page)"/>
        <w:docPartUnique/>
      </w:docPartObj>
    </w:sdtPr>
    <w:sdtContent>
      <w:sdt>
        <w:sdtPr>
          <w:rPr>
            <w:rFonts w:ascii="Arial" w:hAnsi="Arial" w:cs="Arial"/>
            <w:sz w:val="18"/>
            <w:szCs w:val="18"/>
          </w:rPr>
          <w:id w:val="565050523"/>
          <w:docPartObj>
            <w:docPartGallery w:val="Page Numbers (Top of Page)"/>
            <w:docPartUnique/>
          </w:docPartObj>
        </w:sdtPr>
        <w:sdtContent>
          <w:p w:rsidR="00410B44" w:rsidRPr="00B676C7" w:rsidRDefault="00410B44" w:rsidP="00B676C7">
            <w:pPr>
              <w:pStyle w:val="Footer"/>
              <w:jc w:val="right"/>
              <w:rPr>
                <w:rFonts w:ascii="Arial" w:hAnsi="Arial" w:cs="Arial"/>
                <w:sz w:val="18"/>
                <w:szCs w:val="18"/>
              </w:rPr>
            </w:pPr>
            <w:r w:rsidRPr="00B676C7">
              <w:rPr>
                <w:rFonts w:ascii="Arial" w:hAnsi="Arial" w:cs="Arial"/>
                <w:sz w:val="18"/>
                <w:szCs w:val="18"/>
              </w:rPr>
              <w:t xml:space="preserve">Page </w:t>
            </w:r>
            <w:r w:rsidR="00E54308" w:rsidRPr="00B676C7">
              <w:rPr>
                <w:rFonts w:ascii="Arial" w:hAnsi="Arial" w:cs="Arial"/>
                <w:b/>
                <w:sz w:val="18"/>
                <w:szCs w:val="18"/>
              </w:rPr>
              <w:fldChar w:fldCharType="begin"/>
            </w:r>
            <w:r w:rsidRPr="00B676C7">
              <w:rPr>
                <w:rFonts w:ascii="Arial" w:hAnsi="Arial" w:cs="Arial"/>
                <w:b/>
                <w:sz w:val="18"/>
                <w:szCs w:val="18"/>
              </w:rPr>
              <w:instrText xml:space="preserve"> PAGE </w:instrText>
            </w:r>
            <w:r w:rsidR="00E54308" w:rsidRPr="00B676C7">
              <w:rPr>
                <w:rFonts w:ascii="Arial" w:hAnsi="Arial" w:cs="Arial"/>
                <w:b/>
                <w:sz w:val="18"/>
                <w:szCs w:val="18"/>
              </w:rPr>
              <w:fldChar w:fldCharType="separate"/>
            </w:r>
            <w:r w:rsidR="006B7012">
              <w:rPr>
                <w:rFonts w:ascii="Arial" w:hAnsi="Arial" w:cs="Arial"/>
                <w:b/>
                <w:noProof/>
                <w:sz w:val="18"/>
                <w:szCs w:val="18"/>
              </w:rPr>
              <w:t>4</w:t>
            </w:r>
            <w:r w:rsidR="00E54308" w:rsidRPr="00B676C7">
              <w:rPr>
                <w:rFonts w:ascii="Arial" w:hAnsi="Arial" w:cs="Arial"/>
                <w:b/>
                <w:sz w:val="18"/>
                <w:szCs w:val="18"/>
              </w:rPr>
              <w:fldChar w:fldCharType="end"/>
            </w:r>
            <w:r w:rsidRPr="00B676C7">
              <w:rPr>
                <w:rFonts w:ascii="Arial" w:hAnsi="Arial" w:cs="Arial"/>
                <w:sz w:val="18"/>
                <w:szCs w:val="18"/>
              </w:rPr>
              <w:t xml:space="preserve"> of </w:t>
            </w:r>
            <w:r w:rsidR="00E54308" w:rsidRPr="00B676C7">
              <w:rPr>
                <w:rFonts w:ascii="Arial" w:hAnsi="Arial" w:cs="Arial"/>
                <w:b/>
                <w:sz w:val="18"/>
                <w:szCs w:val="18"/>
              </w:rPr>
              <w:fldChar w:fldCharType="begin"/>
            </w:r>
            <w:r w:rsidRPr="00B676C7">
              <w:rPr>
                <w:rFonts w:ascii="Arial" w:hAnsi="Arial" w:cs="Arial"/>
                <w:b/>
                <w:sz w:val="18"/>
                <w:szCs w:val="18"/>
              </w:rPr>
              <w:instrText xml:space="preserve"> NUMPAGES  </w:instrText>
            </w:r>
            <w:r w:rsidR="00E54308" w:rsidRPr="00B676C7">
              <w:rPr>
                <w:rFonts w:ascii="Arial" w:hAnsi="Arial" w:cs="Arial"/>
                <w:b/>
                <w:sz w:val="18"/>
                <w:szCs w:val="18"/>
              </w:rPr>
              <w:fldChar w:fldCharType="separate"/>
            </w:r>
            <w:r w:rsidR="006B7012">
              <w:rPr>
                <w:rFonts w:ascii="Arial" w:hAnsi="Arial" w:cs="Arial"/>
                <w:b/>
                <w:noProof/>
                <w:sz w:val="18"/>
                <w:szCs w:val="18"/>
              </w:rPr>
              <w:t>15</w:t>
            </w:r>
            <w:r w:rsidR="00E54308" w:rsidRPr="00B676C7">
              <w:rPr>
                <w:rFonts w:ascii="Arial" w:hAnsi="Arial" w:cs="Arial"/>
                <w:b/>
                <w:sz w:val="18"/>
                <w:szCs w:val="18"/>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B44" w:rsidRDefault="00410B44" w:rsidP="00B676C7">
      <w:r>
        <w:separator/>
      </w:r>
    </w:p>
  </w:footnote>
  <w:footnote w:type="continuationSeparator" w:id="0">
    <w:p w:rsidR="00410B44" w:rsidRDefault="00410B44" w:rsidP="00B676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B44" w:rsidRDefault="00410B44">
    <w:pPr>
      <w:pStyle w:val="Header"/>
    </w:pPr>
    <w:r w:rsidRPr="00B676C7">
      <w:rPr>
        <w:noProof/>
        <w:lang w:val="en-US" w:eastAsia="en-US"/>
      </w:rPr>
      <w:drawing>
        <wp:inline distT="0" distB="0" distL="0" distR="0">
          <wp:extent cx="1191186" cy="861686"/>
          <wp:effectExtent l="19050" t="0" r="8964" b="0"/>
          <wp:docPr id="1" name="Picture 1" descr="http://www.agoria.be/upload/Agoria/art_agoria.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oria.be/upload/Agoria/art_agoria.jpg">
                    <a:hlinkClick r:id="rId1"/>
                  </pic:cNvPr>
                  <pic:cNvPicPr>
                    <a:picLocks noChangeAspect="1" noChangeArrowheads="1"/>
                  </pic:cNvPicPr>
                </pic:nvPicPr>
                <pic:blipFill>
                  <a:blip r:embed="rId2"/>
                  <a:srcRect/>
                  <a:stretch>
                    <a:fillRect/>
                  </a:stretch>
                </pic:blipFill>
                <pic:spPr bwMode="auto">
                  <a:xfrm>
                    <a:off x="0" y="0"/>
                    <a:ext cx="1191531" cy="861936"/>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C6361"/>
    <w:multiLevelType w:val="multilevel"/>
    <w:tmpl w:val="39B2CB10"/>
    <w:name w:val="0,8410761"/>
    <w:lvl w:ilvl="0">
      <w:start w:val="8"/>
      <w:numFmt w:val="decimal"/>
      <w:lvlRestart w:val="0"/>
      <w:pStyle w:val="Point0number"/>
      <w:lvlText w:val="(%1)"/>
      <w:lvlJc w:val="left"/>
      <w:pPr>
        <w:tabs>
          <w:tab w:val="num" w:pos="850"/>
        </w:tabs>
        <w:ind w:left="850" w:hanging="850"/>
      </w:pPr>
      <w:rPr>
        <w:rFonts w:hint="default"/>
      </w:rPr>
    </w:lvl>
    <w:lvl w:ilvl="1">
      <w:start w:val="1"/>
      <w:numFmt w:val="lowerLetter"/>
      <w:pStyle w:val="Point0letter"/>
      <w:lvlText w:val="(%2)"/>
      <w:lvlJc w:val="left"/>
      <w:pPr>
        <w:tabs>
          <w:tab w:val="num" w:pos="850"/>
        </w:tabs>
        <w:ind w:left="850" w:hanging="850"/>
      </w:pPr>
      <w:rPr>
        <w:rFonts w:hint="default"/>
      </w:rPr>
    </w:lvl>
    <w:lvl w:ilvl="2">
      <w:start w:val="1"/>
      <w:numFmt w:val="decimal"/>
      <w:pStyle w:val="Point1number"/>
      <w:lvlText w:val="(%3)"/>
      <w:lvlJc w:val="left"/>
      <w:pPr>
        <w:tabs>
          <w:tab w:val="num" w:pos="1417"/>
        </w:tabs>
        <w:ind w:left="1417" w:hanging="567"/>
      </w:pPr>
      <w:rPr>
        <w:rFonts w:hint="default"/>
      </w:rPr>
    </w:lvl>
    <w:lvl w:ilvl="3">
      <w:start w:val="1"/>
      <w:numFmt w:val="lowerLetter"/>
      <w:pStyle w:val="Point1letter"/>
      <w:lvlText w:val="(%4)"/>
      <w:lvlJc w:val="left"/>
      <w:pPr>
        <w:tabs>
          <w:tab w:val="num" w:pos="1417"/>
        </w:tabs>
        <w:ind w:left="1417" w:hanging="567"/>
      </w:pPr>
      <w:rPr>
        <w:rFonts w:hint="default"/>
      </w:rPr>
    </w:lvl>
    <w:lvl w:ilvl="4">
      <w:start w:val="1"/>
      <w:numFmt w:val="decimal"/>
      <w:pStyle w:val="Point2number"/>
      <w:lvlText w:val="(%5)"/>
      <w:lvlJc w:val="left"/>
      <w:pPr>
        <w:tabs>
          <w:tab w:val="num" w:pos="1984"/>
        </w:tabs>
        <w:ind w:left="1984" w:hanging="567"/>
      </w:pPr>
      <w:rPr>
        <w:rFonts w:hint="default"/>
      </w:rPr>
    </w:lvl>
    <w:lvl w:ilvl="5">
      <w:start w:val="1"/>
      <w:numFmt w:val="lowerLetter"/>
      <w:pStyle w:val="Point2letter"/>
      <w:lvlText w:val="(%6)"/>
      <w:lvlJc w:val="left"/>
      <w:pPr>
        <w:tabs>
          <w:tab w:val="num" w:pos="1984"/>
        </w:tabs>
        <w:ind w:left="1984" w:hanging="567"/>
      </w:pPr>
      <w:rPr>
        <w:rFonts w:hint="default"/>
      </w:rPr>
    </w:lvl>
    <w:lvl w:ilvl="6">
      <w:start w:val="1"/>
      <w:numFmt w:val="decimal"/>
      <w:pStyle w:val="Point3number"/>
      <w:lvlText w:val="(%7)"/>
      <w:lvlJc w:val="left"/>
      <w:pPr>
        <w:tabs>
          <w:tab w:val="num" w:pos="2551"/>
        </w:tabs>
        <w:ind w:left="2551" w:hanging="567"/>
      </w:pPr>
      <w:rPr>
        <w:rFonts w:hint="default"/>
      </w:rPr>
    </w:lvl>
    <w:lvl w:ilvl="7">
      <w:start w:val="1"/>
      <w:numFmt w:val="lowerLetter"/>
      <w:pStyle w:val="Point3letter"/>
      <w:lvlText w:val="(%8)"/>
      <w:lvlJc w:val="left"/>
      <w:pPr>
        <w:tabs>
          <w:tab w:val="num" w:pos="2551"/>
        </w:tabs>
        <w:ind w:left="2551" w:hanging="567"/>
      </w:pPr>
      <w:rPr>
        <w:rFonts w:hint="default"/>
      </w:rPr>
    </w:lvl>
    <w:lvl w:ilvl="8">
      <w:start w:val="1"/>
      <w:numFmt w:val="lowerLetter"/>
      <w:pStyle w:val="Point4letter"/>
      <w:lvlText w:val="(%9)"/>
      <w:lvlJc w:val="left"/>
      <w:pPr>
        <w:tabs>
          <w:tab w:val="num" w:pos="3118"/>
        </w:tabs>
        <w:ind w:left="3118" w:hanging="567"/>
      </w:pPr>
      <w:rPr>
        <w:rFonts w:hint="default"/>
      </w:rPr>
    </w:lvl>
  </w:abstractNum>
  <w:abstractNum w:abstractNumId="1">
    <w:nsid w:val="5EF0652F"/>
    <w:multiLevelType w:val="hybridMultilevel"/>
    <w:tmpl w:val="652CA996"/>
    <w:lvl w:ilvl="0" w:tplc="F4EA42A6">
      <w:start w:val="1"/>
      <w:numFmt w:val="bullet"/>
      <w:pStyle w:val="bulletblue"/>
      <w:lvlText w:val=""/>
      <w:lvlJc w:val="left"/>
      <w:pPr>
        <w:ind w:left="1080" w:hanging="360"/>
      </w:pPr>
      <w:rPr>
        <w:rFonts w:ascii="Wingdings" w:hAnsi="Wingdings" w:hint="default"/>
        <w:color w:val="1F497D" w:themeColor="text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FDE57BD"/>
    <w:multiLevelType w:val="hybridMultilevel"/>
    <w:tmpl w:val="08782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26064D"/>
    <w:rsid w:val="001174A2"/>
    <w:rsid w:val="0022271F"/>
    <w:rsid w:val="0026064D"/>
    <w:rsid w:val="003A393A"/>
    <w:rsid w:val="00410B44"/>
    <w:rsid w:val="004D1540"/>
    <w:rsid w:val="006600E5"/>
    <w:rsid w:val="00696406"/>
    <w:rsid w:val="006B7012"/>
    <w:rsid w:val="008A082D"/>
    <w:rsid w:val="008D4A06"/>
    <w:rsid w:val="00983FB2"/>
    <w:rsid w:val="009C61DB"/>
    <w:rsid w:val="00A02E36"/>
    <w:rsid w:val="00B676C7"/>
    <w:rsid w:val="00C62F5C"/>
    <w:rsid w:val="00CD1D43"/>
    <w:rsid w:val="00D52332"/>
    <w:rsid w:val="00E543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64D"/>
    <w:pPr>
      <w:overflowPunct w:val="0"/>
      <w:spacing w:before="0" w:after="0" w:line="240" w:lineRule="auto"/>
    </w:pPr>
    <w:rPr>
      <w:rFonts w:ascii="Times New Roman" w:eastAsia="Times New Roman" w:hAnsi="Times New Roman" w:cs="Times New Roman"/>
      <w:sz w:val="24"/>
      <w:szCs w:val="24"/>
      <w:lang w:val="en-GB" w:eastAsia="ar-SA"/>
    </w:rPr>
  </w:style>
  <w:style w:type="paragraph" w:styleId="Heading1">
    <w:name w:val="heading 1"/>
    <w:basedOn w:val="Normal"/>
    <w:next w:val="Normal"/>
    <w:link w:val="Heading1Char"/>
    <w:uiPriority w:val="9"/>
    <w:qFormat/>
    <w:rsid w:val="008D4A0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D4A0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8D4A06"/>
    <w:pPr>
      <w:pBdr>
        <w:top w:val="single" w:sz="6" w:space="2" w:color="4F81BD" w:themeColor="accent1"/>
        <w:left w:val="single" w:sz="6" w:space="2" w:color="4F81BD" w:themeColor="accent1"/>
      </w:pBdr>
      <w:spacing w:before="30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D4A06"/>
    <w:pPr>
      <w:pBdr>
        <w:top w:val="dotted" w:sz="6" w:space="2" w:color="4F81BD" w:themeColor="accent1"/>
        <w:left w:val="dotted" w:sz="6" w:space="2" w:color="4F81BD" w:themeColor="accent1"/>
      </w:pBdr>
      <w:spacing w:before="30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D4A06"/>
    <w:pPr>
      <w:pBdr>
        <w:bottom w:val="single" w:sz="6" w:space="1" w:color="4F81BD" w:themeColor="accent1"/>
      </w:pBdr>
      <w:spacing w:before="30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D4A06"/>
    <w:pPr>
      <w:pBdr>
        <w:bottom w:val="dotted" w:sz="6" w:space="1" w:color="4F81BD" w:themeColor="accent1"/>
      </w:pBdr>
      <w:spacing w:before="30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D4A06"/>
    <w:pPr>
      <w:spacing w:before="30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D4A06"/>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8D4A06"/>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A06"/>
    <w:rPr>
      <w:b/>
      <w:bCs/>
      <w:caps/>
      <w:color w:val="FFFFFF" w:themeColor="background1"/>
      <w:spacing w:val="15"/>
      <w:shd w:val="clear" w:color="auto" w:fill="4F81BD" w:themeFill="accent1"/>
    </w:rPr>
  </w:style>
  <w:style w:type="paragraph" w:customStyle="1" w:styleId="bulletblue">
    <w:name w:val="bullet blue"/>
    <w:basedOn w:val="ListParagraph"/>
    <w:autoRedefine/>
    <w:rsid w:val="0022271F"/>
    <w:pPr>
      <w:numPr>
        <w:numId w:val="2"/>
      </w:numPr>
    </w:pPr>
  </w:style>
  <w:style w:type="paragraph" w:styleId="ListParagraph">
    <w:name w:val="List Paragraph"/>
    <w:basedOn w:val="Normal"/>
    <w:uiPriority w:val="99"/>
    <w:qFormat/>
    <w:rsid w:val="008D4A06"/>
    <w:pPr>
      <w:ind w:left="720"/>
      <w:contextualSpacing/>
    </w:pPr>
  </w:style>
  <w:style w:type="character" w:customStyle="1" w:styleId="Heading3Char">
    <w:name w:val="Heading 3 Char"/>
    <w:basedOn w:val="DefaultParagraphFont"/>
    <w:link w:val="Heading3"/>
    <w:uiPriority w:val="9"/>
    <w:rsid w:val="008D4A06"/>
    <w:rPr>
      <w:caps/>
      <w:color w:val="243F60" w:themeColor="accent1" w:themeShade="7F"/>
      <w:spacing w:val="15"/>
    </w:rPr>
  </w:style>
  <w:style w:type="character" w:customStyle="1" w:styleId="Heading2Char">
    <w:name w:val="Heading 2 Char"/>
    <w:basedOn w:val="DefaultParagraphFont"/>
    <w:link w:val="Heading2"/>
    <w:uiPriority w:val="9"/>
    <w:semiHidden/>
    <w:rsid w:val="008D4A06"/>
    <w:rPr>
      <w:caps/>
      <w:spacing w:val="15"/>
      <w:shd w:val="clear" w:color="auto" w:fill="DBE5F1" w:themeFill="accent1" w:themeFillTint="33"/>
    </w:rPr>
  </w:style>
  <w:style w:type="character" w:customStyle="1" w:styleId="Heading4Char">
    <w:name w:val="Heading 4 Char"/>
    <w:basedOn w:val="DefaultParagraphFont"/>
    <w:link w:val="Heading4"/>
    <w:uiPriority w:val="9"/>
    <w:semiHidden/>
    <w:rsid w:val="008D4A06"/>
    <w:rPr>
      <w:caps/>
      <w:color w:val="365F91" w:themeColor="accent1" w:themeShade="BF"/>
      <w:spacing w:val="10"/>
    </w:rPr>
  </w:style>
  <w:style w:type="character" w:customStyle="1" w:styleId="Heading5Char">
    <w:name w:val="Heading 5 Char"/>
    <w:basedOn w:val="DefaultParagraphFont"/>
    <w:link w:val="Heading5"/>
    <w:uiPriority w:val="9"/>
    <w:semiHidden/>
    <w:rsid w:val="008D4A06"/>
    <w:rPr>
      <w:caps/>
      <w:color w:val="365F91" w:themeColor="accent1" w:themeShade="BF"/>
      <w:spacing w:val="10"/>
    </w:rPr>
  </w:style>
  <w:style w:type="character" w:customStyle="1" w:styleId="Heading6Char">
    <w:name w:val="Heading 6 Char"/>
    <w:basedOn w:val="DefaultParagraphFont"/>
    <w:link w:val="Heading6"/>
    <w:uiPriority w:val="9"/>
    <w:semiHidden/>
    <w:rsid w:val="008D4A06"/>
    <w:rPr>
      <w:caps/>
      <w:color w:val="365F91" w:themeColor="accent1" w:themeShade="BF"/>
      <w:spacing w:val="10"/>
    </w:rPr>
  </w:style>
  <w:style w:type="character" w:customStyle="1" w:styleId="Heading7Char">
    <w:name w:val="Heading 7 Char"/>
    <w:basedOn w:val="DefaultParagraphFont"/>
    <w:link w:val="Heading7"/>
    <w:uiPriority w:val="9"/>
    <w:semiHidden/>
    <w:rsid w:val="008D4A06"/>
    <w:rPr>
      <w:caps/>
      <w:color w:val="365F91" w:themeColor="accent1" w:themeShade="BF"/>
      <w:spacing w:val="10"/>
    </w:rPr>
  </w:style>
  <w:style w:type="character" w:customStyle="1" w:styleId="Heading8Char">
    <w:name w:val="Heading 8 Char"/>
    <w:basedOn w:val="DefaultParagraphFont"/>
    <w:link w:val="Heading8"/>
    <w:uiPriority w:val="9"/>
    <w:semiHidden/>
    <w:rsid w:val="008D4A06"/>
    <w:rPr>
      <w:caps/>
      <w:spacing w:val="10"/>
      <w:sz w:val="18"/>
      <w:szCs w:val="18"/>
    </w:rPr>
  </w:style>
  <w:style w:type="character" w:customStyle="1" w:styleId="Heading9Char">
    <w:name w:val="Heading 9 Char"/>
    <w:basedOn w:val="DefaultParagraphFont"/>
    <w:link w:val="Heading9"/>
    <w:uiPriority w:val="9"/>
    <w:semiHidden/>
    <w:rsid w:val="008D4A06"/>
    <w:rPr>
      <w:i/>
      <w:caps/>
      <w:spacing w:val="10"/>
      <w:sz w:val="18"/>
      <w:szCs w:val="18"/>
    </w:rPr>
  </w:style>
  <w:style w:type="paragraph" w:styleId="Caption">
    <w:name w:val="caption"/>
    <w:basedOn w:val="Normal"/>
    <w:next w:val="Normal"/>
    <w:uiPriority w:val="35"/>
    <w:semiHidden/>
    <w:unhideWhenUsed/>
    <w:qFormat/>
    <w:rsid w:val="008D4A06"/>
    <w:rPr>
      <w:b/>
      <w:bCs/>
      <w:color w:val="365F91" w:themeColor="accent1" w:themeShade="BF"/>
      <w:sz w:val="16"/>
      <w:szCs w:val="16"/>
    </w:rPr>
  </w:style>
  <w:style w:type="paragraph" w:styleId="Title">
    <w:name w:val="Title"/>
    <w:basedOn w:val="Normal"/>
    <w:next w:val="Normal"/>
    <w:link w:val="TitleChar"/>
    <w:uiPriority w:val="10"/>
    <w:qFormat/>
    <w:rsid w:val="008D4A0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D4A06"/>
    <w:rPr>
      <w:caps/>
      <w:color w:val="4F81BD" w:themeColor="accent1"/>
      <w:spacing w:val="10"/>
      <w:kern w:val="28"/>
      <w:sz w:val="52"/>
      <w:szCs w:val="52"/>
    </w:rPr>
  </w:style>
  <w:style w:type="paragraph" w:styleId="Subtitle">
    <w:name w:val="Subtitle"/>
    <w:basedOn w:val="Normal"/>
    <w:next w:val="Normal"/>
    <w:link w:val="SubtitleChar"/>
    <w:uiPriority w:val="11"/>
    <w:qFormat/>
    <w:rsid w:val="008D4A06"/>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8D4A06"/>
    <w:rPr>
      <w:caps/>
      <w:color w:val="595959" w:themeColor="text1" w:themeTint="A6"/>
      <w:spacing w:val="10"/>
      <w:sz w:val="24"/>
      <w:szCs w:val="24"/>
    </w:rPr>
  </w:style>
  <w:style w:type="character" w:styleId="Strong">
    <w:name w:val="Strong"/>
    <w:uiPriority w:val="22"/>
    <w:qFormat/>
    <w:rsid w:val="008D4A06"/>
    <w:rPr>
      <w:b/>
      <w:bCs/>
    </w:rPr>
  </w:style>
  <w:style w:type="character" w:styleId="Emphasis">
    <w:name w:val="Emphasis"/>
    <w:uiPriority w:val="20"/>
    <w:qFormat/>
    <w:rsid w:val="008D4A06"/>
    <w:rPr>
      <w:caps/>
      <w:color w:val="243F60" w:themeColor="accent1" w:themeShade="7F"/>
      <w:spacing w:val="5"/>
    </w:rPr>
  </w:style>
  <w:style w:type="paragraph" w:styleId="NoSpacing">
    <w:name w:val="No Spacing"/>
    <w:basedOn w:val="Normal"/>
    <w:link w:val="NoSpacingChar"/>
    <w:uiPriority w:val="1"/>
    <w:qFormat/>
    <w:rsid w:val="008D4A06"/>
  </w:style>
  <w:style w:type="character" w:customStyle="1" w:styleId="NoSpacingChar">
    <w:name w:val="No Spacing Char"/>
    <w:basedOn w:val="DefaultParagraphFont"/>
    <w:link w:val="NoSpacing"/>
    <w:uiPriority w:val="1"/>
    <w:rsid w:val="008D4A06"/>
    <w:rPr>
      <w:sz w:val="20"/>
      <w:szCs w:val="20"/>
    </w:rPr>
  </w:style>
  <w:style w:type="paragraph" w:styleId="Quote">
    <w:name w:val="Quote"/>
    <w:basedOn w:val="Normal"/>
    <w:next w:val="Normal"/>
    <w:link w:val="QuoteChar"/>
    <w:uiPriority w:val="29"/>
    <w:qFormat/>
    <w:rsid w:val="008D4A06"/>
    <w:rPr>
      <w:i/>
      <w:iCs/>
    </w:rPr>
  </w:style>
  <w:style w:type="character" w:customStyle="1" w:styleId="QuoteChar">
    <w:name w:val="Quote Char"/>
    <w:basedOn w:val="DefaultParagraphFont"/>
    <w:link w:val="Quote"/>
    <w:uiPriority w:val="29"/>
    <w:rsid w:val="008D4A06"/>
    <w:rPr>
      <w:i/>
      <w:iCs/>
      <w:sz w:val="20"/>
      <w:szCs w:val="20"/>
    </w:rPr>
  </w:style>
  <w:style w:type="paragraph" w:styleId="IntenseQuote">
    <w:name w:val="Intense Quote"/>
    <w:basedOn w:val="Normal"/>
    <w:next w:val="Normal"/>
    <w:link w:val="IntenseQuoteChar"/>
    <w:uiPriority w:val="30"/>
    <w:qFormat/>
    <w:rsid w:val="008D4A06"/>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D4A06"/>
    <w:rPr>
      <w:i/>
      <w:iCs/>
      <w:color w:val="4F81BD" w:themeColor="accent1"/>
      <w:sz w:val="20"/>
      <w:szCs w:val="20"/>
    </w:rPr>
  </w:style>
  <w:style w:type="character" w:styleId="SubtleEmphasis">
    <w:name w:val="Subtle Emphasis"/>
    <w:uiPriority w:val="19"/>
    <w:qFormat/>
    <w:rsid w:val="008D4A06"/>
    <w:rPr>
      <w:i/>
      <w:iCs/>
      <w:color w:val="243F60" w:themeColor="accent1" w:themeShade="7F"/>
    </w:rPr>
  </w:style>
  <w:style w:type="character" w:styleId="IntenseEmphasis">
    <w:name w:val="Intense Emphasis"/>
    <w:uiPriority w:val="21"/>
    <w:qFormat/>
    <w:rsid w:val="008D4A06"/>
    <w:rPr>
      <w:b/>
      <w:bCs/>
      <w:caps/>
      <w:color w:val="243F60" w:themeColor="accent1" w:themeShade="7F"/>
      <w:spacing w:val="10"/>
    </w:rPr>
  </w:style>
  <w:style w:type="character" w:styleId="SubtleReference">
    <w:name w:val="Subtle Reference"/>
    <w:uiPriority w:val="31"/>
    <w:qFormat/>
    <w:rsid w:val="008D4A06"/>
    <w:rPr>
      <w:b/>
      <w:bCs/>
      <w:color w:val="4F81BD" w:themeColor="accent1"/>
    </w:rPr>
  </w:style>
  <w:style w:type="character" w:styleId="IntenseReference">
    <w:name w:val="Intense Reference"/>
    <w:uiPriority w:val="32"/>
    <w:qFormat/>
    <w:rsid w:val="008D4A06"/>
    <w:rPr>
      <w:b/>
      <w:bCs/>
      <w:i/>
      <w:iCs/>
      <w:caps/>
      <w:color w:val="4F81BD" w:themeColor="accent1"/>
    </w:rPr>
  </w:style>
  <w:style w:type="character" w:styleId="BookTitle">
    <w:name w:val="Book Title"/>
    <w:uiPriority w:val="33"/>
    <w:qFormat/>
    <w:rsid w:val="008D4A06"/>
    <w:rPr>
      <w:b/>
      <w:bCs/>
      <w:i/>
      <w:iCs/>
      <w:spacing w:val="9"/>
    </w:rPr>
  </w:style>
  <w:style w:type="paragraph" w:styleId="TOCHeading">
    <w:name w:val="TOC Heading"/>
    <w:basedOn w:val="Heading1"/>
    <w:next w:val="Normal"/>
    <w:uiPriority w:val="39"/>
    <w:semiHidden/>
    <w:unhideWhenUsed/>
    <w:qFormat/>
    <w:rsid w:val="008D4A06"/>
    <w:pPr>
      <w:outlineLvl w:val="9"/>
    </w:pPr>
    <w:rPr>
      <w:lang w:bidi="en-US"/>
    </w:rPr>
  </w:style>
  <w:style w:type="paragraph" w:customStyle="1" w:styleId="Default">
    <w:name w:val="Default"/>
    <w:rsid w:val="0026064D"/>
    <w:pPr>
      <w:autoSpaceDE w:val="0"/>
      <w:autoSpaceDN w:val="0"/>
      <w:adjustRightInd w:val="0"/>
      <w:spacing w:before="0" w:after="0" w:line="240" w:lineRule="auto"/>
    </w:pPr>
    <w:rPr>
      <w:rFonts w:ascii="EUAlbertina" w:eastAsia="Calibri" w:hAnsi="EUAlbertina" w:cs="EUAlbertina"/>
      <w:color w:val="000000"/>
      <w:sz w:val="24"/>
      <w:szCs w:val="24"/>
      <w:lang w:val="en-GB" w:eastAsia="en-GB"/>
    </w:rPr>
  </w:style>
  <w:style w:type="paragraph" w:customStyle="1" w:styleId="Point0number">
    <w:name w:val="Point 0 (number)"/>
    <w:basedOn w:val="Normal"/>
    <w:rsid w:val="0026064D"/>
    <w:pPr>
      <w:numPr>
        <w:numId w:val="3"/>
      </w:numPr>
      <w:overflowPunct/>
      <w:spacing w:before="120" w:after="120"/>
      <w:jc w:val="both"/>
    </w:pPr>
    <w:rPr>
      <w:lang w:eastAsia="en-US"/>
    </w:rPr>
  </w:style>
  <w:style w:type="paragraph" w:customStyle="1" w:styleId="Point1number">
    <w:name w:val="Point 1 (number)"/>
    <w:basedOn w:val="Normal"/>
    <w:rsid w:val="0026064D"/>
    <w:pPr>
      <w:numPr>
        <w:ilvl w:val="2"/>
        <w:numId w:val="3"/>
      </w:numPr>
      <w:overflowPunct/>
      <w:spacing w:before="120" w:after="120"/>
      <w:jc w:val="both"/>
    </w:pPr>
    <w:rPr>
      <w:lang w:eastAsia="en-US"/>
    </w:rPr>
  </w:style>
  <w:style w:type="paragraph" w:customStyle="1" w:styleId="Point2number">
    <w:name w:val="Point 2 (number)"/>
    <w:basedOn w:val="Normal"/>
    <w:rsid w:val="0026064D"/>
    <w:pPr>
      <w:numPr>
        <w:ilvl w:val="4"/>
        <w:numId w:val="3"/>
      </w:numPr>
      <w:overflowPunct/>
      <w:spacing w:before="120" w:after="120"/>
      <w:jc w:val="both"/>
    </w:pPr>
    <w:rPr>
      <w:lang w:eastAsia="en-US"/>
    </w:rPr>
  </w:style>
  <w:style w:type="paragraph" w:customStyle="1" w:styleId="Point3number">
    <w:name w:val="Point 3 (number)"/>
    <w:basedOn w:val="Normal"/>
    <w:rsid w:val="0026064D"/>
    <w:pPr>
      <w:numPr>
        <w:ilvl w:val="6"/>
        <w:numId w:val="3"/>
      </w:numPr>
      <w:overflowPunct/>
      <w:spacing w:before="120" w:after="120"/>
      <w:jc w:val="both"/>
    </w:pPr>
    <w:rPr>
      <w:lang w:eastAsia="en-US"/>
    </w:rPr>
  </w:style>
  <w:style w:type="paragraph" w:customStyle="1" w:styleId="Point0letter">
    <w:name w:val="Point 0 (letter)"/>
    <w:basedOn w:val="Normal"/>
    <w:rsid w:val="0026064D"/>
    <w:pPr>
      <w:numPr>
        <w:ilvl w:val="1"/>
        <w:numId w:val="3"/>
      </w:numPr>
      <w:overflowPunct/>
      <w:spacing w:before="120" w:after="120"/>
      <w:jc w:val="both"/>
    </w:pPr>
    <w:rPr>
      <w:lang w:eastAsia="en-US"/>
    </w:rPr>
  </w:style>
  <w:style w:type="paragraph" w:customStyle="1" w:styleId="Point1letter">
    <w:name w:val="Point 1 (letter)"/>
    <w:basedOn w:val="Normal"/>
    <w:rsid w:val="0026064D"/>
    <w:pPr>
      <w:numPr>
        <w:ilvl w:val="3"/>
        <w:numId w:val="3"/>
      </w:numPr>
      <w:overflowPunct/>
      <w:spacing w:before="120" w:after="120"/>
      <w:jc w:val="both"/>
    </w:pPr>
    <w:rPr>
      <w:lang w:eastAsia="en-US"/>
    </w:rPr>
  </w:style>
  <w:style w:type="paragraph" w:customStyle="1" w:styleId="Point2letter">
    <w:name w:val="Point 2 (letter)"/>
    <w:basedOn w:val="Normal"/>
    <w:rsid w:val="0026064D"/>
    <w:pPr>
      <w:numPr>
        <w:ilvl w:val="5"/>
        <w:numId w:val="3"/>
      </w:numPr>
      <w:overflowPunct/>
      <w:spacing w:before="120" w:after="120"/>
      <w:jc w:val="both"/>
    </w:pPr>
    <w:rPr>
      <w:lang w:eastAsia="en-US"/>
    </w:rPr>
  </w:style>
  <w:style w:type="paragraph" w:customStyle="1" w:styleId="Point3letter">
    <w:name w:val="Point 3 (letter)"/>
    <w:basedOn w:val="Normal"/>
    <w:rsid w:val="0026064D"/>
    <w:pPr>
      <w:numPr>
        <w:ilvl w:val="7"/>
        <w:numId w:val="3"/>
      </w:numPr>
      <w:overflowPunct/>
      <w:spacing w:before="120" w:after="120"/>
      <w:jc w:val="both"/>
    </w:pPr>
    <w:rPr>
      <w:lang w:eastAsia="en-US"/>
    </w:rPr>
  </w:style>
  <w:style w:type="paragraph" w:customStyle="1" w:styleId="Point4letter">
    <w:name w:val="Point 4 (letter)"/>
    <w:basedOn w:val="Normal"/>
    <w:rsid w:val="0026064D"/>
    <w:pPr>
      <w:numPr>
        <w:ilvl w:val="8"/>
        <w:numId w:val="3"/>
      </w:numPr>
      <w:overflowPunct/>
      <w:spacing w:before="120" w:after="120"/>
      <w:jc w:val="both"/>
    </w:pPr>
    <w:rPr>
      <w:lang w:eastAsia="en-US"/>
    </w:rPr>
  </w:style>
  <w:style w:type="paragraph" w:styleId="Header">
    <w:name w:val="header"/>
    <w:basedOn w:val="Normal"/>
    <w:link w:val="HeaderChar"/>
    <w:uiPriority w:val="99"/>
    <w:semiHidden/>
    <w:unhideWhenUsed/>
    <w:rsid w:val="00B676C7"/>
    <w:pPr>
      <w:tabs>
        <w:tab w:val="center" w:pos="4513"/>
        <w:tab w:val="right" w:pos="9026"/>
      </w:tabs>
    </w:pPr>
  </w:style>
  <w:style w:type="character" w:customStyle="1" w:styleId="HeaderChar">
    <w:name w:val="Header Char"/>
    <w:basedOn w:val="DefaultParagraphFont"/>
    <w:link w:val="Header"/>
    <w:uiPriority w:val="99"/>
    <w:semiHidden/>
    <w:rsid w:val="00B676C7"/>
    <w:rPr>
      <w:rFonts w:ascii="Times New Roman" w:eastAsia="Times New Roman" w:hAnsi="Times New Roman" w:cs="Times New Roman"/>
      <w:sz w:val="24"/>
      <w:szCs w:val="24"/>
      <w:lang w:val="en-GB" w:eastAsia="ar-SA"/>
    </w:rPr>
  </w:style>
  <w:style w:type="paragraph" w:styleId="Footer">
    <w:name w:val="footer"/>
    <w:basedOn w:val="Normal"/>
    <w:link w:val="FooterChar"/>
    <w:uiPriority w:val="99"/>
    <w:unhideWhenUsed/>
    <w:rsid w:val="00B676C7"/>
    <w:pPr>
      <w:tabs>
        <w:tab w:val="center" w:pos="4513"/>
        <w:tab w:val="right" w:pos="9026"/>
      </w:tabs>
    </w:pPr>
  </w:style>
  <w:style w:type="character" w:customStyle="1" w:styleId="FooterChar">
    <w:name w:val="Footer Char"/>
    <w:basedOn w:val="DefaultParagraphFont"/>
    <w:link w:val="Footer"/>
    <w:uiPriority w:val="99"/>
    <w:rsid w:val="00B676C7"/>
    <w:rPr>
      <w:rFonts w:ascii="Times New Roman" w:eastAsia="Times New Roman" w:hAnsi="Times New Roman" w:cs="Times New Roman"/>
      <w:sz w:val="24"/>
      <w:szCs w:val="24"/>
      <w:lang w:val="en-GB" w:eastAsia="ar-SA"/>
    </w:rPr>
  </w:style>
  <w:style w:type="paragraph" w:styleId="BalloonText">
    <w:name w:val="Balloon Text"/>
    <w:basedOn w:val="Normal"/>
    <w:link w:val="BalloonTextChar"/>
    <w:uiPriority w:val="99"/>
    <w:semiHidden/>
    <w:unhideWhenUsed/>
    <w:rsid w:val="00B676C7"/>
    <w:rPr>
      <w:rFonts w:ascii="Tahoma" w:hAnsi="Tahoma" w:cs="Tahoma"/>
      <w:sz w:val="16"/>
      <w:szCs w:val="16"/>
    </w:rPr>
  </w:style>
  <w:style w:type="character" w:customStyle="1" w:styleId="BalloonTextChar">
    <w:name w:val="Balloon Text Char"/>
    <w:basedOn w:val="DefaultParagraphFont"/>
    <w:link w:val="BalloonText"/>
    <w:uiPriority w:val="99"/>
    <w:semiHidden/>
    <w:rsid w:val="00B676C7"/>
    <w:rPr>
      <w:rFonts w:ascii="Tahoma" w:eastAsia="Times New Roman" w:hAnsi="Tahoma" w:cs="Tahoma"/>
      <w:sz w:val="16"/>
      <w:szCs w:val="16"/>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64D"/>
    <w:pPr>
      <w:overflowPunct w:val="0"/>
      <w:spacing w:before="0" w:after="0" w:line="240" w:lineRule="auto"/>
    </w:pPr>
    <w:rPr>
      <w:rFonts w:ascii="Times New Roman" w:eastAsia="Times New Roman" w:hAnsi="Times New Roman" w:cs="Times New Roman"/>
      <w:sz w:val="24"/>
      <w:szCs w:val="24"/>
      <w:lang w:val="en-GB" w:eastAsia="ar-SA"/>
    </w:rPr>
  </w:style>
  <w:style w:type="paragraph" w:styleId="Heading1">
    <w:name w:val="heading 1"/>
    <w:basedOn w:val="Normal"/>
    <w:next w:val="Normal"/>
    <w:link w:val="Heading1Char"/>
    <w:uiPriority w:val="9"/>
    <w:qFormat/>
    <w:rsid w:val="008D4A0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D4A0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8D4A06"/>
    <w:pPr>
      <w:pBdr>
        <w:top w:val="single" w:sz="6" w:space="2" w:color="4F81BD" w:themeColor="accent1"/>
        <w:left w:val="single" w:sz="6" w:space="2" w:color="4F81BD" w:themeColor="accent1"/>
      </w:pBdr>
      <w:spacing w:before="30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D4A06"/>
    <w:pPr>
      <w:pBdr>
        <w:top w:val="dotted" w:sz="6" w:space="2" w:color="4F81BD" w:themeColor="accent1"/>
        <w:left w:val="dotted" w:sz="6" w:space="2" w:color="4F81BD" w:themeColor="accent1"/>
      </w:pBdr>
      <w:spacing w:before="30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D4A06"/>
    <w:pPr>
      <w:pBdr>
        <w:bottom w:val="single" w:sz="6" w:space="1" w:color="4F81BD" w:themeColor="accent1"/>
      </w:pBdr>
      <w:spacing w:before="30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D4A06"/>
    <w:pPr>
      <w:pBdr>
        <w:bottom w:val="dotted" w:sz="6" w:space="1" w:color="4F81BD" w:themeColor="accent1"/>
      </w:pBdr>
      <w:spacing w:before="30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D4A06"/>
    <w:pPr>
      <w:spacing w:before="30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D4A06"/>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8D4A06"/>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A06"/>
    <w:rPr>
      <w:b/>
      <w:bCs/>
      <w:caps/>
      <w:color w:val="FFFFFF" w:themeColor="background1"/>
      <w:spacing w:val="15"/>
      <w:shd w:val="clear" w:color="auto" w:fill="4F81BD" w:themeFill="accent1"/>
    </w:rPr>
  </w:style>
  <w:style w:type="paragraph" w:customStyle="1" w:styleId="bulletblue">
    <w:name w:val="bullet blue"/>
    <w:basedOn w:val="ListParagraph"/>
    <w:autoRedefine/>
    <w:rsid w:val="0022271F"/>
    <w:pPr>
      <w:numPr>
        <w:numId w:val="2"/>
      </w:numPr>
    </w:pPr>
  </w:style>
  <w:style w:type="paragraph" w:styleId="ListParagraph">
    <w:name w:val="List Paragraph"/>
    <w:basedOn w:val="Normal"/>
    <w:uiPriority w:val="99"/>
    <w:qFormat/>
    <w:rsid w:val="008D4A06"/>
    <w:pPr>
      <w:ind w:left="720"/>
      <w:contextualSpacing/>
    </w:pPr>
  </w:style>
  <w:style w:type="character" w:customStyle="1" w:styleId="Heading3Char">
    <w:name w:val="Heading 3 Char"/>
    <w:basedOn w:val="DefaultParagraphFont"/>
    <w:link w:val="Heading3"/>
    <w:uiPriority w:val="9"/>
    <w:rsid w:val="008D4A06"/>
    <w:rPr>
      <w:caps/>
      <w:color w:val="243F60" w:themeColor="accent1" w:themeShade="7F"/>
      <w:spacing w:val="15"/>
    </w:rPr>
  </w:style>
  <w:style w:type="character" w:customStyle="1" w:styleId="Heading2Char">
    <w:name w:val="Heading 2 Char"/>
    <w:basedOn w:val="DefaultParagraphFont"/>
    <w:link w:val="Heading2"/>
    <w:uiPriority w:val="9"/>
    <w:semiHidden/>
    <w:rsid w:val="008D4A06"/>
    <w:rPr>
      <w:caps/>
      <w:spacing w:val="15"/>
      <w:shd w:val="clear" w:color="auto" w:fill="DBE5F1" w:themeFill="accent1" w:themeFillTint="33"/>
    </w:rPr>
  </w:style>
  <w:style w:type="character" w:customStyle="1" w:styleId="Heading4Char">
    <w:name w:val="Heading 4 Char"/>
    <w:basedOn w:val="DefaultParagraphFont"/>
    <w:link w:val="Heading4"/>
    <w:uiPriority w:val="9"/>
    <w:semiHidden/>
    <w:rsid w:val="008D4A06"/>
    <w:rPr>
      <w:caps/>
      <w:color w:val="365F91" w:themeColor="accent1" w:themeShade="BF"/>
      <w:spacing w:val="10"/>
    </w:rPr>
  </w:style>
  <w:style w:type="character" w:customStyle="1" w:styleId="Heading5Char">
    <w:name w:val="Heading 5 Char"/>
    <w:basedOn w:val="DefaultParagraphFont"/>
    <w:link w:val="Heading5"/>
    <w:uiPriority w:val="9"/>
    <w:semiHidden/>
    <w:rsid w:val="008D4A06"/>
    <w:rPr>
      <w:caps/>
      <w:color w:val="365F91" w:themeColor="accent1" w:themeShade="BF"/>
      <w:spacing w:val="10"/>
    </w:rPr>
  </w:style>
  <w:style w:type="character" w:customStyle="1" w:styleId="Heading6Char">
    <w:name w:val="Heading 6 Char"/>
    <w:basedOn w:val="DefaultParagraphFont"/>
    <w:link w:val="Heading6"/>
    <w:uiPriority w:val="9"/>
    <w:semiHidden/>
    <w:rsid w:val="008D4A06"/>
    <w:rPr>
      <w:caps/>
      <w:color w:val="365F91" w:themeColor="accent1" w:themeShade="BF"/>
      <w:spacing w:val="10"/>
    </w:rPr>
  </w:style>
  <w:style w:type="character" w:customStyle="1" w:styleId="Heading7Char">
    <w:name w:val="Heading 7 Char"/>
    <w:basedOn w:val="DefaultParagraphFont"/>
    <w:link w:val="Heading7"/>
    <w:uiPriority w:val="9"/>
    <w:semiHidden/>
    <w:rsid w:val="008D4A06"/>
    <w:rPr>
      <w:caps/>
      <w:color w:val="365F91" w:themeColor="accent1" w:themeShade="BF"/>
      <w:spacing w:val="10"/>
    </w:rPr>
  </w:style>
  <w:style w:type="character" w:customStyle="1" w:styleId="Heading8Char">
    <w:name w:val="Heading 8 Char"/>
    <w:basedOn w:val="DefaultParagraphFont"/>
    <w:link w:val="Heading8"/>
    <w:uiPriority w:val="9"/>
    <w:semiHidden/>
    <w:rsid w:val="008D4A06"/>
    <w:rPr>
      <w:caps/>
      <w:spacing w:val="10"/>
      <w:sz w:val="18"/>
      <w:szCs w:val="18"/>
    </w:rPr>
  </w:style>
  <w:style w:type="character" w:customStyle="1" w:styleId="Heading9Char">
    <w:name w:val="Heading 9 Char"/>
    <w:basedOn w:val="DefaultParagraphFont"/>
    <w:link w:val="Heading9"/>
    <w:uiPriority w:val="9"/>
    <w:semiHidden/>
    <w:rsid w:val="008D4A06"/>
    <w:rPr>
      <w:i/>
      <w:caps/>
      <w:spacing w:val="10"/>
      <w:sz w:val="18"/>
      <w:szCs w:val="18"/>
    </w:rPr>
  </w:style>
  <w:style w:type="paragraph" w:styleId="Caption">
    <w:name w:val="caption"/>
    <w:basedOn w:val="Normal"/>
    <w:next w:val="Normal"/>
    <w:uiPriority w:val="35"/>
    <w:semiHidden/>
    <w:unhideWhenUsed/>
    <w:qFormat/>
    <w:rsid w:val="008D4A06"/>
    <w:rPr>
      <w:b/>
      <w:bCs/>
      <w:color w:val="365F91" w:themeColor="accent1" w:themeShade="BF"/>
      <w:sz w:val="16"/>
      <w:szCs w:val="16"/>
    </w:rPr>
  </w:style>
  <w:style w:type="paragraph" w:styleId="Title">
    <w:name w:val="Title"/>
    <w:basedOn w:val="Normal"/>
    <w:next w:val="Normal"/>
    <w:link w:val="TitleChar"/>
    <w:uiPriority w:val="10"/>
    <w:qFormat/>
    <w:rsid w:val="008D4A0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D4A06"/>
    <w:rPr>
      <w:caps/>
      <w:color w:val="4F81BD" w:themeColor="accent1"/>
      <w:spacing w:val="10"/>
      <w:kern w:val="28"/>
      <w:sz w:val="52"/>
      <w:szCs w:val="52"/>
    </w:rPr>
  </w:style>
  <w:style w:type="paragraph" w:styleId="Subtitle">
    <w:name w:val="Subtitle"/>
    <w:basedOn w:val="Normal"/>
    <w:next w:val="Normal"/>
    <w:link w:val="SubtitleChar"/>
    <w:uiPriority w:val="11"/>
    <w:qFormat/>
    <w:rsid w:val="008D4A06"/>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8D4A06"/>
    <w:rPr>
      <w:caps/>
      <w:color w:val="595959" w:themeColor="text1" w:themeTint="A6"/>
      <w:spacing w:val="10"/>
      <w:sz w:val="24"/>
      <w:szCs w:val="24"/>
    </w:rPr>
  </w:style>
  <w:style w:type="character" w:styleId="Strong">
    <w:name w:val="Strong"/>
    <w:uiPriority w:val="22"/>
    <w:qFormat/>
    <w:rsid w:val="008D4A06"/>
    <w:rPr>
      <w:b/>
      <w:bCs/>
    </w:rPr>
  </w:style>
  <w:style w:type="character" w:styleId="Emphasis">
    <w:name w:val="Emphasis"/>
    <w:uiPriority w:val="20"/>
    <w:qFormat/>
    <w:rsid w:val="008D4A06"/>
    <w:rPr>
      <w:caps/>
      <w:color w:val="243F60" w:themeColor="accent1" w:themeShade="7F"/>
      <w:spacing w:val="5"/>
    </w:rPr>
  </w:style>
  <w:style w:type="paragraph" w:styleId="NoSpacing">
    <w:name w:val="No Spacing"/>
    <w:basedOn w:val="Normal"/>
    <w:link w:val="NoSpacingChar"/>
    <w:uiPriority w:val="1"/>
    <w:qFormat/>
    <w:rsid w:val="008D4A06"/>
  </w:style>
  <w:style w:type="character" w:customStyle="1" w:styleId="NoSpacingChar">
    <w:name w:val="No Spacing Char"/>
    <w:basedOn w:val="DefaultParagraphFont"/>
    <w:link w:val="NoSpacing"/>
    <w:uiPriority w:val="1"/>
    <w:rsid w:val="008D4A06"/>
    <w:rPr>
      <w:sz w:val="20"/>
      <w:szCs w:val="20"/>
    </w:rPr>
  </w:style>
  <w:style w:type="paragraph" w:styleId="Quote">
    <w:name w:val="Quote"/>
    <w:basedOn w:val="Normal"/>
    <w:next w:val="Normal"/>
    <w:link w:val="QuoteChar"/>
    <w:uiPriority w:val="29"/>
    <w:qFormat/>
    <w:rsid w:val="008D4A06"/>
    <w:rPr>
      <w:i/>
      <w:iCs/>
    </w:rPr>
  </w:style>
  <w:style w:type="character" w:customStyle="1" w:styleId="QuoteChar">
    <w:name w:val="Quote Char"/>
    <w:basedOn w:val="DefaultParagraphFont"/>
    <w:link w:val="Quote"/>
    <w:uiPriority w:val="29"/>
    <w:rsid w:val="008D4A06"/>
    <w:rPr>
      <w:i/>
      <w:iCs/>
      <w:sz w:val="20"/>
      <w:szCs w:val="20"/>
    </w:rPr>
  </w:style>
  <w:style w:type="paragraph" w:styleId="IntenseQuote">
    <w:name w:val="Intense Quote"/>
    <w:basedOn w:val="Normal"/>
    <w:next w:val="Normal"/>
    <w:link w:val="IntenseQuoteChar"/>
    <w:uiPriority w:val="30"/>
    <w:qFormat/>
    <w:rsid w:val="008D4A06"/>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D4A06"/>
    <w:rPr>
      <w:i/>
      <w:iCs/>
      <w:color w:val="4F81BD" w:themeColor="accent1"/>
      <w:sz w:val="20"/>
      <w:szCs w:val="20"/>
    </w:rPr>
  </w:style>
  <w:style w:type="character" w:styleId="SubtleEmphasis">
    <w:name w:val="Subtle Emphasis"/>
    <w:uiPriority w:val="19"/>
    <w:qFormat/>
    <w:rsid w:val="008D4A06"/>
    <w:rPr>
      <w:i/>
      <w:iCs/>
      <w:color w:val="243F60" w:themeColor="accent1" w:themeShade="7F"/>
    </w:rPr>
  </w:style>
  <w:style w:type="character" w:styleId="IntenseEmphasis">
    <w:name w:val="Intense Emphasis"/>
    <w:uiPriority w:val="21"/>
    <w:qFormat/>
    <w:rsid w:val="008D4A06"/>
    <w:rPr>
      <w:b/>
      <w:bCs/>
      <w:caps/>
      <w:color w:val="243F60" w:themeColor="accent1" w:themeShade="7F"/>
      <w:spacing w:val="10"/>
    </w:rPr>
  </w:style>
  <w:style w:type="character" w:styleId="SubtleReference">
    <w:name w:val="Subtle Reference"/>
    <w:uiPriority w:val="31"/>
    <w:qFormat/>
    <w:rsid w:val="008D4A06"/>
    <w:rPr>
      <w:b/>
      <w:bCs/>
      <w:color w:val="4F81BD" w:themeColor="accent1"/>
    </w:rPr>
  </w:style>
  <w:style w:type="character" w:styleId="IntenseReference">
    <w:name w:val="Intense Reference"/>
    <w:uiPriority w:val="32"/>
    <w:qFormat/>
    <w:rsid w:val="008D4A06"/>
    <w:rPr>
      <w:b/>
      <w:bCs/>
      <w:i/>
      <w:iCs/>
      <w:caps/>
      <w:color w:val="4F81BD" w:themeColor="accent1"/>
    </w:rPr>
  </w:style>
  <w:style w:type="character" w:styleId="BookTitle">
    <w:name w:val="Book Title"/>
    <w:uiPriority w:val="33"/>
    <w:qFormat/>
    <w:rsid w:val="008D4A06"/>
    <w:rPr>
      <w:b/>
      <w:bCs/>
      <w:i/>
      <w:iCs/>
      <w:spacing w:val="9"/>
    </w:rPr>
  </w:style>
  <w:style w:type="paragraph" w:styleId="TOCHeading">
    <w:name w:val="TOC Heading"/>
    <w:basedOn w:val="Heading1"/>
    <w:next w:val="Normal"/>
    <w:uiPriority w:val="39"/>
    <w:semiHidden/>
    <w:unhideWhenUsed/>
    <w:qFormat/>
    <w:rsid w:val="008D4A06"/>
    <w:pPr>
      <w:outlineLvl w:val="9"/>
    </w:pPr>
    <w:rPr>
      <w:lang w:bidi="en-US"/>
    </w:rPr>
  </w:style>
  <w:style w:type="paragraph" w:customStyle="1" w:styleId="Default">
    <w:name w:val="Default"/>
    <w:rsid w:val="0026064D"/>
    <w:pPr>
      <w:autoSpaceDE w:val="0"/>
      <w:autoSpaceDN w:val="0"/>
      <w:adjustRightInd w:val="0"/>
      <w:spacing w:before="0" w:after="0" w:line="240" w:lineRule="auto"/>
    </w:pPr>
    <w:rPr>
      <w:rFonts w:ascii="EUAlbertina" w:eastAsia="Calibri" w:hAnsi="EUAlbertina" w:cs="EUAlbertina"/>
      <w:color w:val="000000"/>
      <w:sz w:val="24"/>
      <w:szCs w:val="24"/>
      <w:lang w:val="en-GB" w:eastAsia="en-GB"/>
    </w:rPr>
  </w:style>
  <w:style w:type="paragraph" w:customStyle="1" w:styleId="Point0number">
    <w:name w:val="Point 0 (number)"/>
    <w:basedOn w:val="Normal"/>
    <w:rsid w:val="0026064D"/>
    <w:pPr>
      <w:numPr>
        <w:numId w:val="3"/>
      </w:numPr>
      <w:overflowPunct/>
      <w:spacing w:before="120" w:after="120"/>
      <w:jc w:val="both"/>
    </w:pPr>
    <w:rPr>
      <w:lang w:eastAsia="en-US"/>
    </w:rPr>
  </w:style>
  <w:style w:type="paragraph" w:customStyle="1" w:styleId="Point1number">
    <w:name w:val="Point 1 (number)"/>
    <w:basedOn w:val="Normal"/>
    <w:rsid w:val="0026064D"/>
    <w:pPr>
      <w:numPr>
        <w:ilvl w:val="2"/>
        <w:numId w:val="3"/>
      </w:numPr>
      <w:overflowPunct/>
      <w:spacing w:before="120" w:after="120"/>
      <w:jc w:val="both"/>
    </w:pPr>
    <w:rPr>
      <w:lang w:eastAsia="en-US"/>
    </w:rPr>
  </w:style>
  <w:style w:type="paragraph" w:customStyle="1" w:styleId="Point2number">
    <w:name w:val="Point 2 (number)"/>
    <w:basedOn w:val="Normal"/>
    <w:rsid w:val="0026064D"/>
    <w:pPr>
      <w:numPr>
        <w:ilvl w:val="4"/>
        <w:numId w:val="3"/>
      </w:numPr>
      <w:overflowPunct/>
      <w:spacing w:before="120" w:after="120"/>
      <w:jc w:val="both"/>
    </w:pPr>
    <w:rPr>
      <w:lang w:eastAsia="en-US"/>
    </w:rPr>
  </w:style>
  <w:style w:type="paragraph" w:customStyle="1" w:styleId="Point3number">
    <w:name w:val="Point 3 (number)"/>
    <w:basedOn w:val="Normal"/>
    <w:rsid w:val="0026064D"/>
    <w:pPr>
      <w:numPr>
        <w:ilvl w:val="6"/>
        <w:numId w:val="3"/>
      </w:numPr>
      <w:overflowPunct/>
      <w:spacing w:before="120" w:after="120"/>
      <w:jc w:val="both"/>
    </w:pPr>
    <w:rPr>
      <w:lang w:eastAsia="en-US"/>
    </w:rPr>
  </w:style>
  <w:style w:type="paragraph" w:customStyle="1" w:styleId="Point0letter">
    <w:name w:val="Point 0 (letter)"/>
    <w:basedOn w:val="Normal"/>
    <w:rsid w:val="0026064D"/>
    <w:pPr>
      <w:numPr>
        <w:ilvl w:val="1"/>
        <w:numId w:val="3"/>
      </w:numPr>
      <w:overflowPunct/>
      <w:spacing w:before="120" w:after="120"/>
      <w:jc w:val="both"/>
    </w:pPr>
    <w:rPr>
      <w:lang w:eastAsia="en-US"/>
    </w:rPr>
  </w:style>
  <w:style w:type="paragraph" w:customStyle="1" w:styleId="Point1letter">
    <w:name w:val="Point 1 (letter)"/>
    <w:basedOn w:val="Normal"/>
    <w:rsid w:val="0026064D"/>
    <w:pPr>
      <w:numPr>
        <w:ilvl w:val="3"/>
        <w:numId w:val="3"/>
      </w:numPr>
      <w:overflowPunct/>
      <w:spacing w:before="120" w:after="120"/>
      <w:jc w:val="both"/>
    </w:pPr>
    <w:rPr>
      <w:lang w:eastAsia="en-US"/>
    </w:rPr>
  </w:style>
  <w:style w:type="paragraph" w:customStyle="1" w:styleId="Point2letter">
    <w:name w:val="Point 2 (letter)"/>
    <w:basedOn w:val="Normal"/>
    <w:rsid w:val="0026064D"/>
    <w:pPr>
      <w:numPr>
        <w:ilvl w:val="5"/>
        <w:numId w:val="3"/>
      </w:numPr>
      <w:overflowPunct/>
      <w:spacing w:before="120" w:after="120"/>
      <w:jc w:val="both"/>
    </w:pPr>
    <w:rPr>
      <w:lang w:eastAsia="en-US"/>
    </w:rPr>
  </w:style>
  <w:style w:type="paragraph" w:customStyle="1" w:styleId="Point3letter">
    <w:name w:val="Point 3 (letter)"/>
    <w:basedOn w:val="Normal"/>
    <w:rsid w:val="0026064D"/>
    <w:pPr>
      <w:numPr>
        <w:ilvl w:val="7"/>
        <w:numId w:val="3"/>
      </w:numPr>
      <w:overflowPunct/>
      <w:spacing w:before="120" w:after="120"/>
      <w:jc w:val="both"/>
    </w:pPr>
    <w:rPr>
      <w:lang w:eastAsia="en-US"/>
    </w:rPr>
  </w:style>
  <w:style w:type="paragraph" w:customStyle="1" w:styleId="Point4letter">
    <w:name w:val="Point 4 (letter)"/>
    <w:basedOn w:val="Normal"/>
    <w:rsid w:val="0026064D"/>
    <w:pPr>
      <w:numPr>
        <w:ilvl w:val="8"/>
        <w:numId w:val="3"/>
      </w:numPr>
      <w:overflowPunct/>
      <w:spacing w:before="120" w:after="120"/>
      <w:jc w:val="both"/>
    </w:pPr>
    <w:rPr>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agoria.be/WWW.wsc/webextra/prg/izContentWeb?vWebSessionID=14212&amp;vUserID=108592&amp;TopicID=21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4228</Words>
  <Characters>24103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Synergics</Company>
  <LinksUpToDate>false</LinksUpToDate>
  <CharactersWithSpaces>28275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TechAmerica</dc:creator>
  <cp:lastModifiedBy>IRNR</cp:lastModifiedBy>
  <cp:revision>2</cp:revision>
  <dcterms:created xsi:type="dcterms:W3CDTF">2012-10-02T10:40:00Z</dcterms:created>
  <dcterms:modified xsi:type="dcterms:W3CDTF">2012-10-02T10:40:00Z</dcterms:modified>
</cp:coreProperties>
</file>