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364" w:rsidRPr="00044E23" w:rsidRDefault="00C523D2" w:rsidP="00156364">
      <w:pPr>
        <w:rPr>
          <w:lang w:val="en-GB"/>
        </w:rPr>
        <w:sectPr w:rsidR="00156364" w:rsidRPr="00044E23" w:rsidSect="00156364">
          <w:headerReference w:type="even" r:id="rId9"/>
          <w:headerReference w:type="default" r:id="rId10"/>
          <w:footerReference w:type="even" r:id="rId11"/>
          <w:type w:val="oddPage"/>
          <w:pgSz w:w="11906" w:h="16838" w:code="9"/>
          <w:pgMar w:top="2835" w:right="1588" w:bottom="851" w:left="1134" w:header="851" w:footer="567" w:gutter="0"/>
          <w:cols w:space="708"/>
          <w:docGrid w:linePitch="360"/>
        </w:sectPr>
      </w:pPr>
      <w:bookmarkStart w:id="0" w:name="_GoBack"/>
      <w:bookmarkEnd w:id="0"/>
      <w:r>
        <w:rPr>
          <w:noProof/>
          <w:lang w:val="de-DE" w:eastAsia="de-DE"/>
        </w:rPr>
        <mc:AlternateContent>
          <mc:Choice Requires="wps">
            <w:drawing>
              <wp:anchor distT="0" distB="0" distL="114300" distR="114300" simplePos="0" relativeHeight="251665408" behindDoc="0" locked="0" layoutInCell="1" allowOverlap="1">
                <wp:simplePos x="0" y="0"/>
                <wp:positionH relativeFrom="column">
                  <wp:posOffset>3317240</wp:posOffset>
                </wp:positionH>
                <wp:positionV relativeFrom="paragraph">
                  <wp:posOffset>1892935</wp:posOffset>
                </wp:positionV>
                <wp:extent cx="3003550" cy="241300"/>
                <wp:effectExtent l="0" t="0" r="6350" b="6350"/>
                <wp:wrapNone/>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8BA" w:rsidRPr="004448CC" w:rsidRDefault="0032789B" w:rsidP="009E5B5A">
                            <w:pPr>
                              <w:jc w:val="right"/>
                              <w:rPr>
                                <w:b/>
                                <w:color w:val="000080"/>
                                <w:sz w:val="20"/>
                              </w:rPr>
                            </w:pPr>
                            <w:r>
                              <w:rPr>
                                <w:b/>
                                <w:color w:val="000080"/>
                                <w:sz w:val="20"/>
                              </w:rPr>
                              <w:t>31 May 2013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61.2pt;margin-top:149.05pt;width:236.5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" filled="f" stroked="f">
                <v:textbox style="mso-fit-shape-to-text:t" inset="0,0,0,0">
                  <w:txbxContent>
                    <w:p w:rsidR="001C38BA" w:rsidRPr="004448CC" w:rsidRDefault="0032789B" w:rsidP="009E5B5A">
                      <w:pPr>
                        <w:jc w:val="right"/>
                        <w:rPr>
                          <w:b/>
                          <w:color w:val="000080"/>
                          <w:sz w:val="20"/>
                        </w:rPr>
                      </w:pPr>
                      <w:r>
                        <w:rPr>
                          <w:b/>
                          <w:color w:val="000080"/>
                          <w:sz w:val="20"/>
                        </w:rPr>
                        <w:t>31 May 2013</w:t>
                      </w:r>
                    </w:p>
                  </w:txbxContent>
                </v:textbox>
              </v:shape>
            </w:pict>
          </mc:Fallback>
        </mc:AlternateContent>
      </w:r>
      <w:r>
        <w:rPr>
          <w:noProof/>
          <w:lang w:val="de-DE" w:eastAsia="de-DE"/>
        </w:rPr>
        <mc:AlternateContent>
          <mc:Choice Requires="wps">
            <w:drawing>
              <wp:anchor distT="0" distB="0" distL="114300" distR="114300" simplePos="0" relativeHeight="251663360" behindDoc="0" locked="0" layoutInCell="1" allowOverlap="1">
                <wp:simplePos x="0" y="0"/>
                <wp:positionH relativeFrom="column">
                  <wp:posOffset>342265</wp:posOffset>
                </wp:positionH>
                <wp:positionV relativeFrom="paragraph">
                  <wp:posOffset>1892935</wp:posOffset>
                </wp:positionV>
                <wp:extent cx="2974340" cy="241300"/>
                <wp:effectExtent l="0" t="0" r="16510" b="635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34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8BA" w:rsidRPr="004448CC" w:rsidRDefault="001C38BA" w:rsidP="00546745">
                            <w:pPr>
                              <w:rPr>
                                <w:b/>
                                <w:color w:val="000080"/>
                                <w:sz w:val="20"/>
                              </w:rPr>
                            </w:pPr>
                            <w:r>
                              <w:rPr>
                                <w:b/>
                                <w:color w:val="000080"/>
                                <w:sz w:val="20"/>
                              </w:rPr>
                              <w:t xml:space="preserve"> Final report v1.0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6.95pt;margin-top:149.05pt;width:234.2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" filled="f" stroked="f">
                <v:textbox style="mso-fit-shape-to-text:t" inset="0,0,0,0">
                  <w:txbxContent>
                    <w:p w:rsidR="001C38BA" w:rsidRPr="004448CC" w:rsidRDefault="001C38BA" w:rsidP="00546745">
                      <w:pPr>
                        <w:rPr>
                          <w:b/>
                          <w:color w:val="000080"/>
                          <w:sz w:val="20"/>
                        </w:rPr>
                      </w:pPr>
                      <w:r>
                        <w:rPr>
                          <w:b/>
                          <w:color w:val="000080"/>
                          <w:sz w:val="20"/>
                        </w:rPr>
                        <w:t xml:space="preserve"> Final report v1.0</w:t>
                      </w:r>
                    </w:p>
                  </w:txbxContent>
                </v:textbox>
              </v:shape>
            </w:pict>
          </mc:Fallback>
        </mc:AlternateContent>
      </w:r>
      <w:r>
        <w:rPr>
          <w:noProof/>
          <w:lang w:val="de-DE" w:eastAsia="de-DE"/>
        </w:rPr>
        <mc:AlternateContent>
          <mc:Choice Requires="wps">
            <w:drawing>
              <wp:anchor distT="0" distB="0" distL="114300" distR="114300" simplePos="0" relativeHeight="251661312" behindDoc="0" locked="0" layoutInCell="1" allowOverlap="1">
                <wp:simplePos x="0" y="0"/>
                <wp:positionH relativeFrom="column">
                  <wp:posOffset>345440</wp:posOffset>
                </wp:positionH>
                <wp:positionV relativeFrom="paragraph">
                  <wp:posOffset>323215</wp:posOffset>
                </wp:positionV>
                <wp:extent cx="5980430" cy="1560830"/>
                <wp:effectExtent l="0" t="0" r="20320" b="2032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0430" cy="1560830"/>
                        </a:xfrm>
                        <a:prstGeom prst="rect">
                          <a:avLst/>
                        </a:prstGeom>
                        <a:solidFill>
                          <a:srgbClr val="FFFFFF"/>
                        </a:solidFill>
                        <a:ln w="9525">
                          <a:solidFill>
                            <a:srgbClr val="000080"/>
                          </a:solidFill>
                          <a:miter lim="800000"/>
                          <a:headEnd/>
                          <a:tailEnd/>
                        </a:ln>
                      </wps:spPr>
                      <wps:txbx>
                        <w:txbxContent>
                          <w:tbl>
                            <w:tblPr>
                              <w:tblW w:w="0" w:type="auto"/>
                              <w:tblLook w:val="01E0" w:firstRow="1" w:lastRow="1" w:firstColumn="1" w:lastColumn="1" w:noHBand="0" w:noVBand="0"/>
                            </w:tblPr>
                            <w:tblGrid>
                              <w:gridCol w:w="9331"/>
                            </w:tblGrid>
                            <w:tr w:rsidR="001C38BA" w:rsidTr="00707AA7">
                              <w:trPr>
                                <w:trHeight w:val="1231"/>
                              </w:trPr>
                              <w:tc>
                                <w:tcPr>
                                  <w:tcW w:w="9331" w:type="dxa"/>
                                  <w:vAlign w:val="center"/>
                                </w:tcPr>
                                <w:p w:rsidR="001C38BA" w:rsidRPr="00A906F3" w:rsidRDefault="001C38BA" w:rsidP="003F454C">
                                  <w:pPr>
                                    <w:pStyle w:val="Titel"/>
                                  </w:pPr>
                                  <w:r>
                                    <w:t>Evaluation of the EU Data Protection Regulation</w:t>
                                  </w:r>
                                </w:p>
                              </w:tc>
                            </w:tr>
                          </w:tbl>
                          <w:p w:rsidR="001C38BA" w:rsidRPr="00AE6769" w:rsidRDefault="001C38BA" w:rsidP="00707AA7"/>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7.2pt;margin-top:25.45pt;width:470.9pt;height:1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" strokecolor="navy">
                <v:textbox>
                  <w:txbxContent>
                    <w:tbl>
                      <w:tblPr>
                        <w:tblW w:w="0" w:type="auto"/>
                        <w:tblLook w:val="01E0" w:firstRow="1" w:lastRow="1" w:firstColumn="1" w:lastColumn="1" w:noHBand="0" w:noVBand="0"/>
                      </w:tblPr>
                      <w:tblGrid>
                        <w:gridCol w:w="9331"/>
                      </w:tblGrid>
                      <w:tr w:rsidR="001C38BA" w:rsidTr="00707AA7">
                        <w:trPr>
                          <w:trHeight w:val="1231"/>
                        </w:trPr>
                        <w:tc>
                          <w:tcPr>
                            <w:tcW w:w="9331" w:type="dxa"/>
                            <w:vAlign w:val="center"/>
                          </w:tcPr>
                          <w:p w:rsidR="001C38BA" w:rsidRPr="00A906F3" w:rsidRDefault="001C38BA" w:rsidP="003F454C">
                            <w:pPr>
                              <w:pStyle w:val="Titel"/>
                            </w:pPr>
                            <w:r>
                              <w:t>Evaluation of the EU Data Protection Regulation</w:t>
                            </w:r>
                          </w:p>
                        </w:tc>
                      </w:tr>
                    </w:tbl>
                    <w:p w:rsidR="001C38BA" w:rsidRPr="00AE6769" w:rsidRDefault="001C38BA" w:rsidP="00707AA7"/>
                  </w:txbxContent>
                </v:textbox>
              </v:shape>
            </w:pict>
          </mc:Fallback>
        </mc:AlternateContent>
      </w:r>
      <w:r w:rsidR="00156364" w:rsidRPr="00044E23">
        <w:rPr>
          <w:noProof/>
          <w:lang w:val="de-DE" w:eastAsia="de-DE"/>
        </w:rPr>
        <w:drawing>
          <wp:anchor distT="0" distB="0" distL="114300" distR="114300" simplePos="0" relativeHeight="251659264" behindDoc="1" locked="1" layoutInCell="1" allowOverlap="1">
            <wp:simplePos x="0" y="0"/>
            <wp:positionH relativeFrom="column">
              <wp:posOffset>-720090</wp:posOffset>
            </wp:positionH>
            <wp:positionV relativeFrom="paragraph">
              <wp:posOffset>-1955165</wp:posOffset>
            </wp:positionV>
            <wp:extent cx="7614000" cy="10980000"/>
            <wp:effectExtent l="0" t="0" r="635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7614000" cy="10980000"/>
                    </a:xfrm>
                    <a:prstGeom prst="rect">
                      <a:avLst/>
                    </a:prstGeom>
                    <a:noFill/>
                    <a:ln>
                      <a:noFill/>
                    </a:ln>
                  </pic:spPr>
                </pic:pic>
              </a:graphicData>
            </a:graphic>
          </wp:anchor>
        </w:drawing>
      </w:r>
    </w:p>
    <w:tbl>
      <w:tblPr>
        <w:tblStyle w:val="SIRA-Voorpaginatabel"/>
        <w:tblW w:w="0" w:type="auto"/>
        <w:tblCellMar>
          <w:top w:w="57" w:type="dxa"/>
          <w:bottom w:w="28" w:type="dxa"/>
        </w:tblCellMar>
        <w:tblLook w:val="04A0" w:firstRow="1" w:lastRow="0" w:firstColumn="1" w:lastColumn="0" w:noHBand="0" w:noVBand="1"/>
      </w:tblPr>
      <w:tblGrid>
        <w:gridCol w:w="9184"/>
      </w:tblGrid>
      <w:tr w:rsidR="00ED04E6" w:rsidRPr="00044E23" w:rsidTr="00ED04E6">
        <w:trPr>
          <w:trHeight w:hRule="exact" w:val="569"/>
        </w:trPr>
        <w:tc>
          <w:tcPr>
            <w:tcW w:w="9324" w:type="dxa"/>
          </w:tcPr>
          <w:p w:rsidR="00ED04E6" w:rsidRPr="00044E23" w:rsidRDefault="00ED04E6" w:rsidP="000E7897">
            <w:pPr>
              <w:rPr>
                <w:lang w:val="en-GB"/>
              </w:rPr>
            </w:pPr>
          </w:p>
          <w:p w:rsidR="00ED04E6" w:rsidRPr="00044E23" w:rsidRDefault="00ED04E6" w:rsidP="000E7897">
            <w:pPr>
              <w:rPr>
                <w:lang w:val="en-GB"/>
              </w:rPr>
            </w:pPr>
          </w:p>
        </w:tc>
      </w:tr>
      <w:tr w:rsidR="00ED04E6" w:rsidRPr="00044E23" w:rsidTr="00ED04E6">
        <w:trPr>
          <w:trHeight w:hRule="exact" w:val="1134"/>
        </w:trPr>
        <w:tc>
          <w:tcPr>
            <w:tcW w:w="9324" w:type="dxa"/>
            <w:vAlign w:val="center"/>
          </w:tcPr>
          <w:p w:rsidR="00ED04E6" w:rsidRPr="00044E23" w:rsidRDefault="00901007" w:rsidP="003F454C">
            <w:pPr>
              <w:pStyle w:val="Titel"/>
              <w:jc w:val="left"/>
              <w:rPr>
                <w:lang w:val="en-GB"/>
              </w:rPr>
            </w:pPr>
            <w:r w:rsidRPr="00044E23">
              <w:rPr>
                <w:lang w:val="en-GB"/>
              </w:rPr>
              <w:t>Evaluation of the EU Data Protection Regulation</w:t>
            </w:r>
          </w:p>
        </w:tc>
      </w:tr>
      <w:tr w:rsidR="00ED04E6" w:rsidRPr="00044E23" w:rsidTr="00ED04E6">
        <w:trPr>
          <w:trHeight w:hRule="exact" w:val="1134"/>
        </w:trPr>
        <w:tc>
          <w:tcPr>
            <w:tcW w:w="9324" w:type="dxa"/>
            <w:vAlign w:val="center"/>
          </w:tcPr>
          <w:p w:rsidR="00ED04E6" w:rsidRPr="00044E23" w:rsidRDefault="00ED04E6" w:rsidP="000E7897">
            <w:pPr>
              <w:jc w:val="left"/>
              <w:rPr>
                <w:lang w:val="en-GB"/>
              </w:rPr>
            </w:pPr>
          </w:p>
        </w:tc>
      </w:tr>
      <w:tr w:rsidR="00ED04E6" w:rsidRPr="00044E23" w:rsidTr="00ED04E6">
        <w:trPr>
          <w:trHeight w:hRule="exact" w:val="534"/>
        </w:trPr>
        <w:tc>
          <w:tcPr>
            <w:tcW w:w="9324" w:type="dxa"/>
          </w:tcPr>
          <w:p w:rsidR="00ED04E6" w:rsidRPr="00044E23" w:rsidRDefault="005D1DB0" w:rsidP="005D1DB0">
            <w:pPr>
              <w:rPr>
                <w:lang w:val="en-GB"/>
              </w:rPr>
            </w:pPr>
            <w:r w:rsidRPr="00044E23">
              <w:rPr>
                <w:lang w:val="en-GB"/>
              </w:rPr>
              <w:t>Final report version 1.0</w:t>
            </w:r>
          </w:p>
        </w:tc>
      </w:tr>
      <w:tr w:rsidR="00ED04E6" w:rsidRPr="00044E23" w:rsidTr="00ED04E6">
        <w:trPr>
          <w:trHeight w:hRule="exact" w:val="5226"/>
        </w:trPr>
        <w:tc>
          <w:tcPr>
            <w:tcW w:w="9324" w:type="dxa"/>
            <w:vAlign w:val="bottom"/>
          </w:tcPr>
          <w:p w:rsidR="00ED04E6" w:rsidRPr="00044E23" w:rsidRDefault="00ED04E6" w:rsidP="0032789B">
            <w:pPr>
              <w:jc w:val="left"/>
              <w:rPr>
                <w:lang w:val="en-GB"/>
              </w:rPr>
            </w:pPr>
            <w:r w:rsidRPr="00044E23">
              <w:rPr>
                <w:lang w:val="en-GB"/>
              </w:rPr>
              <w:t>Nieuwegein, 31 May 2013</w:t>
            </w:r>
          </w:p>
        </w:tc>
      </w:tr>
      <w:tr w:rsidR="00ED04E6" w:rsidRPr="00044E23" w:rsidTr="00ED04E6">
        <w:trPr>
          <w:trHeight w:hRule="exact" w:val="277"/>
        </w:trPr>
        <w:tc>
          <w:tcPr>
            <w:tcW w:w="9324" w:type="dxa"/>
          </w:tcPr>
          <w:p w:rsidR="00ED04E6" w:rsidRPr="00044E23" w:rsidRDefault="00ED04E6" w:rsidP="000E7897">
            <w:pPr>
              <w:jc w:val="left"/>
              <w:rPr>
                <w:lang w:val="en-GB"/>
              </w:rPr>
            </w:pPr>
          </w:p>
        </w:tc>
      </w:tr>
      <w:tr w:rsidR="00ED04E6" w:rsidRPr="00044E23" w:rsidTr="00ED04E6">
        <w:trPr>
          <w:trHeight w:hRule="exact" w:val="1577"/>
        </w:trPr>
        <w:tc>
          <w:tcPr>
            <w:tcW w:w="9324" w:type="dxa"/>
          </w:tcPr>
          <w:p w:rsidR="003A6B87" w:rsidRPr="00044E23" w:rsidRDefault="003A6B87" w:rsidP="003A6B87">
            <w:pPr>
              <w:rPr>
                <w:lang w:val="en-GB"/>
              </w:rPr>
            </w:pPr>
            <w:r w:rsidRPr="00044E23">
              <w:rPr>
                <w:lang w:val="en-GB"/>
              </w:rPr>
              <w:t>P.M.H.H. Bex</w:t>
            </w:r>
          </w:p>
          <w:p w:rsidR="003A6B87" w:rsidRPr="00044E23" w:rsidRDefault="003A6B87" w:rsidP="003A6B87">
            <w:pPr>
              <w:rPr>
                <w:lang w:val="en-GB"/>
              </w:rPr>
            </w:pPr>
            <w:r w:rsidRPr="00044E23">
              <w:rPr>
                <w:lang w:val="en-GB"/>
              </w:rPr>
              <w:t>M.A. Bloemheuvel</w:t>
            </w:r>
          </w:p>
          <w:p w:rsidR="00ED04E6" w:rsidRPr="00044E23" w:rsidRDefault="00FC714C" w:rsidP="000E7897">
            <w:pPr>
              <w:jc w:val="left"/>
              <w:rPr>
                <w:lang w:val="en-GB"/>
              </w:rPr>
            </w:pPr>
            <w:r w:rsidRPr="00044E23">
              <w:rPr>
                <w:lang w:val="en-GB"/>
              </w:rPr>
              <w:t>S.A. Prij, LL.M.</w:t>
            </w:r>
          </w:p>
          <w:p w:rsidR="00ED04E6" w:rsidRPr="00044E23" w:rsidRDefault="00ED04E6" w:rsidP="000E7897">
            <w:pPr>
              <w:jc w:val="left"/>
              <w:rPr>
                <w:lang w:val="en-GB"/>
              </w:rPr>
            </w:pPr>
          </w:p>
        </w:tc>
      </w:tr>
      <w:tr w:rsidR="00ED04E6" w:rsidRPr="00044E23" w:rsidTr="00ED04E6">
        <w:trPr>
          <w:trHeight w:hRule="exact" w:val="1837"/>
        </w:trPr>
        <w:tc>
          <w:tcPr>
            <w:tcW w:w="9324" w:type="dxa"/>
          </w:tcPr>
          <w:p w:rsidR="00ED04E6" w:rsidRPr="00044E23" w:rsidRDefault="00ED04E6" w:rsidP="00ED04E6">
            <w:pPr>
              <w:pStyle w:val="Beschriftung"/>
              <w:rPr>
                <w:lang w:val="en-GB"/>
              </w:rPr>
            </w:pPr>
          </w:p>
          <w:tbl>
            <w:tblPr>
              <w:tblStyle w:val="SIRAStandaardtabel"/>
              <w:tblW w:w="0" w:type="auto"/>
              <w:tblLook w:val="04A0" w:firstRow="1" w:lastRow="0" w:firstColumn="1" w:lastColumn="0" w:noHBand="0" w:noVBand="1"/>
            </w:tblPr>
            <w:tblGrid>
              <w:gridCol w:w="676"/>
              <w:gridCol w:w="1621"/>
              <w:gridCol w:w="6742"/>
            </w:tblGrid>
            <w:tr w:rsidR="00ED04E6" w:rsidRPr="00044E23" w:rsidTr="000E7897">
              <w:trPr>
                <w:cnfStyle w:val="100000000000" w:firstRow="1" w:lastRow="0" w:firstColumn="0" w:lastColumn="0" w:oddVBand="0" w:evenVBand="0" w:oddHBand="0" w:evenHBand="0" w:firstRowFirstColumn="0" w:firstRowLastColumn="0" w:lastRowFirstColumn="0" w:lastRowLastColumn="0"/>
              </w:trPr>
              <w:tc>
                <w:tcPr>
                  <w:tcW w:w="647" w:type="dxa"/>
                  <w:tcBorders>
                    <w:right w:val="single" w:sz="4" w:space="0" w:color="95B3D7" w:themeColor="accent1" w:themeTint="99"/>
                  </w:tcBorders>
                </w:tcPr>
                <w:p w:rsidR="00ED04E6" w:rsidRPr="00044E23" w:rsidRDefault="00ED04E6" w:rsidP="000E7897">
                  <w:pPr>
                    <w:jc w:val="left"/>
                    <w:rPr>
                      <w:lang w:val="en-GB"/>
                    </w:rPr>
                  </w:pPr>
                  <w:r w:rsidRPr="00044E23">
                    <w:rPr>
                      <w:lang w:val="en-GB"/>
                    </w:rPr>
                    <w:t xml:space="preserve">Version </w:t>
                  </w:r>
                </w:p>
              </w:tc>
              <w:tc>
                <w:tcPr>
                  <w:tcW w:w="1621" w:type="dxa"/>
                  <w:tcBorders>
                    <w:left w:val="single" w:sz="4" w:space="0" w:color="95B3D7" w:themeColor="accent1" w:themeTint="99"/>
                    <w:right w:val="single" w:sz="4" w:space="0" w:color="95B3D7" w:themeColor="accent1" w:themeTint="99"/>
                  </w:tcBorders>
                </w:tcPr>
                <w:p w:rsidR="00ED04E6" w:rsidRPr="00044E23" w:rsidRDefault="00ED04E6" w:rsidP="000E7897">
                  <w:pPr>
                    <w:jc w:val="left"/>
                    <w:rPr>
                      <w:lang w:val="en-GB"/>
                    </w:rPr>
                  </w:pPr>
                  <w:r w:rsidRPr="00044E23">
                    <w:rPr>
                      <w:lang w:val="en-GB"/>
                    </w:rPr>
                    <w:t>Date</w:t>
                  </w:r>
                </w:p>
              </w:tc>
              <w:tc>
                <w:tcPr>
                  <w:tcW w:w="6742" w:type="dxa"/>
                  <w:tcBorders>
                    <w:left w:val="single" w:sz="4" w:space="0" w:color="95B3D7" w:themeColor="accent1" w:themeTint="99"/>
                  </w:tcBorders>
                </w:tcPr>
                <w:p w:rsidR="00ED04E6" w:rsidRPr="00044E23" w:rsidRDefault="00ED04E6" w:rsidP="000E7897">
                  <w:pPr>
                    <w:jc w:val="left"/>
                    <w:rPr>
                      <w:lang w:val="en-GB"/>
                    </w:rPr>
                  </w:pPr>
                  <w:r w:rsidRPr="00044E23">
                    <w:rPr>
                      <w:lang w:val="en-GB"/>
                    </w:rPr>
                    <w:t>Status report (nature of the change)</w:t>
                  </w:r>
                </w:p>
              </w:tc>
            </w:tr>
            <w:tr w:rsidR="00ED04E6" w:rsidRPr="00044E23" w:rsidTr="000E7897">
              <w:tc>
                <w:tcPr>
                  <w:tcW w:w="647" w:type="dxa"/>
                </w:tcPr>
                <w:p w:rsidR="00ED04E6" w:rsidRPr="00044E23" w:rsidRDefault="00101D0D" w:rsidP="00101D0D">
                  <w:pPr>
                    <w:jc w:val="center"/>
                    <w:rPr>
                      <w:lang w:val="en-GB"/>
                    </w:rPr>
                  </w:pPr>
                  <w:r w:rsidRPr="00044E23">
                    <w:rPr>
                      <w:lang w:val="en-GB"/>
                    </w:rPr>
                    <w:t>1.0</w:t>
                  </w:r>
                </w:p>
              </w:tc>
              <w:tc>
                <w:tcPr>
                  <w:tcW w:w="1621" w:type="dxa"/>
                </w:tcPr>
                <w:p w:rsidR="00ED04E6" w:rsidRPr="00044E23" w:rsidRDefault="0032789B" w:rsidP="00561537">
                  <w:pPr>
                    <w:jc w:val="left"/>
                    <w:rPr>
                      <w:lang w:val="en-GB"/>
                    </w:rPr>
                  </w:pPr>
                  <w:r w:rsidRPr="00044E23">
                    <w:rPr>
                      <w:lang w:val="en-GB"/>
                    </w:rPr>
                    <w:t>31 May 2013</w:t>
                  </w:r>
                </w:p>
              </w:tc>
              <w:tc>
                <w:tcPr>
                  <w:tcW w:w="6742" w:type="dxa"/>
                </w:tcPr>
                <w:p w:rsidR="00ED04E6" w:rsidRPr="00044E23" w:rsidRDefault="00101D0D" w:rsidP="00F22C6D">
                  <w:pPr>
                    <w:rPr>
                      <w:lang w:val="en-GB"/>
                    </w:rPr>
                  </w:pPr>
                  <w:r w:rsidRPr="00044E23">
                    <w:rPr>
                      <w:lang w:val="en-GB"/>
                    </w:rPr>
                    <w:t>Final version of the report</w:t>
                  </w:r>
                </w:p>
              </w:tc>
            </w:tr>
          </w:tbl>
          <w:p w:rsidR="00ED04E6" w:rsidRPr="00044E23" w:rsidRDefault="00ED04E6" w:rsidP="000E7897">
            <w:pPr>
              <w:rPr>
                <w:lang w:val="en-GB"/>
              </w:rPr>
            </w:pPr>
          </w:p>
        </w:tc>
      </w:tr>
      <w:tr w:rsidR="00ED04E6" w:rsidRPr="00044E23" w:rsidTr="00ED04E6">
        <w:trPr>
          <w:trHeight w:hRule="exact" w:val="699"/>
        </w:trPr>
        <w:tc>
          <w:tcPr>
            <w:tcW w:w="9324" w:type="dxa"/>
          </w:tcPr>
          <w:p w:rsidR="00ED04E6" w:rsidRPr="00044E23" w:rsidRDefault="00ED04E6" w:rsidP="000E7897">
            <w:pPr>
              <w:pStyle w:val="Kopfzeile"/>
              <w:spacing w:line="200" w:lineRule="atLeast"/>
              <w:rPr>
                <w:lang w:val="en-GB"/>
              </w:rPr>
            </w:pPr>
            <w:r w:rsidRPr="00044E23">
              <w:rPr>
                <w:lang w:val="en-GB"/>
              </w:rPr>
              <w:t>SIRA Consulting is responsible for the contents of this report. The texts and research findings contained in this report may only be used to illu</w:t>
            </w:r>
            <w:r w:rsidRPr="00044E23">
              <w:rPr>
                <w:lang w:val="en-GB"/>
              </w:rPr>
              <w:t>s</w:t>
            </w:r>
            <w:r w:rsidRPr="00044E23">
              <w:rPr>
                <w:lang w:val="en-GB"/>
              </w:rPr>
              <w:t>trate or support articles, academic papers and books provided that the source is clearly attributed. SIRA Consulting accepts no liability for typographical errors and/or any other shortcomings.</w:t>
            </w:r>
          </w:p>
        </w:tc>
      </w:tr>
    </w:tbl>
    <w:p w:rsidR="00156364" w:rsidRPr="00044E23" w:rsidRDefault="00156364" w:rsidP="00B5762C">
      <w:pPr>
        <w:rPr>
          <w:lang w:val="en-GB"/>
        </w:rPr>
        <w:sectPr w:rsidR="00156364" w:rsidRPr="00044E23" w:rsidSect="00ED04E6">
          <w:type w:val="oddPage"/>
          <w:pgSz w:w="11906" w:h="16838" w:code="9"/>
          <w:pgMar w:top="2835" w:right="1588" w:bottom="680" w:left="1134" w:header="851" w:footer="284" w:gutter="0"/>
          <w:cols w:space="708"/>
          <w:docGrid w:linePitch="360"/>
        </w:sectPr>
      </w:pPr>
    </w:p>
    <w:sdt>
      <w:sdtPr>
        <w:rPr>
          <w:rFonts w:eastAsiaTheme="minorHAnsi" w:cstheme="minorBidi"/>
          <w:b w:val="0"/>
          <w:bCs w:val="0"/>
          <w:color w:val="auto"/>
          <w:sz w:val="18"/>
          <w:szCs w:val="18"/>
          <w:lang w:val="en-GB" w:eastAsia="en-US"/>
        </w:rPr>
        <w:id w:val="-327448919"/>
        <w:docPartObj>
          <w:docPartGallery w:val="Table of Contents"/>
          <w:docPartUnique/>
        </w:docPartObj>
      </w:sdtPr>
      <w:sdtEndPr/>
      <w:sdtContent>
        <w:p w:rsidR="00AD42C4" w:rsidRPr="00044E23" w:rsidRDefault="00AD42C4">
          <w:pPr>
            <w:pStyle w:val="Inhaltsverzeichnisberschrift"/>
            <w:rPr>
              <w:lang w:val="en-GB"/>
            </w:rPr>
          </w:pPr>
          <w:r w:rsidRPr="00044E23">
            <w:rPr>
              <w:lang w:val="en-GB"/>
            </w:rPr>
            <w:t>Contents</w:t>
          </w:r>
        </w:p>
        <w:p w:rsidR="00B81639" w:rsidRDefault="00772565">
          <w:pPr>
            <w:pStyle w:val="Verzeichnis1"/>
            <w:rPr>
              <w:rFonts w:asciiTheme="minorHAnsi" w:eastAsiaTheme="minorEastAsia" w:hAnsiTheme="minorHAnsi"/>
              <w:b w:val="0"/>
              <w:noProof/>
              <w:sz w:val="22"/>
              <w:szCs w:val="22"/>
              <w:lang w:val="en-IE" w:eastAsia="en-IE"/>
            </w:rPr>
          </w:pPr>
          <w:r w:rsidRPr="00044E23">
            <w:rPr>
              <w:b w:val="0"/>
              <w:lang w:val="en-GB"/>
            </w:rPr>
            <w:fldChar w:fldCharType="begin"/>
          </w:r>
          <w:r w:rsidR="00916CA5" w:rsidRPr="00044E23">
            <w:rPr>
              <w:b w:val="0"/>
              <w:lang w:val="en-GB"/>
            </w:rPr>
            <w:instrText xml:space="preserve"> TOC \o "1-3" \h \z \u </w:instrText>
          </w:r>
          <w:r w:rsidRPr="00044E23">
            <w:rPr>
              <w:b w:val="0"/>
              <w:lang w:val="en-GB"/>
            </w:rPr>
            <w:fldChar w:fldCharType="separate"/>
          </w:r>
          <w:hyperlink w:anchor="_Toc360101904" w:history="1">
            <w:r w:rsidR="00B81639" w:rsidRPr="00A03576">
              <w:rPr>
                <w:rStyle w:val="Hyperlink"/>
                <w:noProof/>
                <w:lang w:val="en-GB"/>
              </w:rPr>
              <w:t>Summary and conclusions</w:t>
            </w:r>
            <w:r w:rsidR="00B81639">
              <w:rPr>
                <w:noProof/>
                <w:webHidden/>
              </w:rPr>
              <w:tab/>
            </w:r>
            <w:r w:rsidR="00B81639">
              <w:rPr>
                <w:noProof/>
                <w:webHidden/>
              </w:rPr>
              <w:fldChar w:fldCharType="begin"/>
            </w:r>
            <w:r w:rsidR="00B81639">
              <w:rPr>
                <w:noProof/>
                <w:webHidden/>
              </w:rPr>
              <w:instrText xml:space="preserve"> PAGEREF _Toc360101904 \h </w:instrText>
            </w:r>
            <w:r w:rsidR="00B81639">
              <w:rPr>
                <w:noProof/>
                <w:webHidden/>
              </w:rPr>
            </w:r>
            <w:r w:rsidR="00B81639">
              <w:rPr>
                <w:noProof/>
                <w:webHidden/>
              </w:rPr>
              <w:fldChar w:fldCharType="separate"/>
            </w:r>
            <w:r w:rsidR="00B81639">
              <w:rPr>
                <w:noProof/>
                <w:webHidden/>
              </w:rPr>
              <w:t>6</w:t>
            </w:r>
            <w:r w:rsidR="00B81639">
              <w:rPr>
                <w:noProof/>
                <w:webHidden/>
              </w:rPr>
              <w:fldChar w:fldCharType="end"/>
            </w:r>
          </w:hyperlink>
        </w:p>
        <w:p w:rsidR="00B81639" w:rsidRDefault="00C523D2">
          <w:pPr>
            <w:pStyle w:val="Verzeichnis1"/>
            <w:rPr>
              <w:rFonts w:asciiTheme="minorHAnsi" w:eastAsiaTheme="minorEastAsia" w:hAnsiTheme="minorHAnsi"/>
              <w:b w:val="0"/>
              <w:noProof/>
              <w:sz w:val="22"/>
              <w:szCs w:val="22"/>
              <w:lang w:val="en-IE" w:eastAsia="en-IE"/>
            </w:rPr>
          </w:pPr>
          <w:hyperlink w:anchor="_Toc360101905" w:history="1">
            <w:r w:rsidR="00B81639" w:rsidRPr="00A03576">
              <w:rPr>
                <w:rStyle w:val="Hyperlink"/>
                <w:noProof/>
                <w:lang w:val="en-GB"/>
              </w:rPr>
              <w:t>1</w:t>
            </w:r>
            <w:r w:rsidR="00B81639">
              <w:rPr>
                <w:rFonts w:asciiTheme="minorHAnsi" w:eastAsiaTheme="minorEastAsia" w:hAnsiTheme="minorHAnsi"/>
                <w:b w:val="0"/>
                <w:noProof/>
                <w:sz w:val="22"/>
                <w:szCs w:val="22"/>
                <w:lang w:val="en-IE" w:eastAsia="en-IE"/>
              </w:rPr>
              <w:tab/>
            </w:r>
            <w:r w:rsidR="00B81639" w:rsidRPr="00A03576">
              <w:rPr>
                <w:rStyle w:val="Hyperlink"/>
                <w:noProof/>
                <w:lang w:val="en-GB"/>
              </w:rPr>
              <w:t>Introduction</w:t>
            </w:r>
            <w:r w:rsidR="00B81639">
              <w:rPr>
                <w:noProof/>
                <w:webHidden/>
              </w:rPr>
              <w:tab/>
            </w:r>
            <w:r w:rsidR="00B81639">
              <w:rPr>
                <w:noProof/>
                <w:webHidden/>
              </w:rPr>
              <w:fldChar w:fldCharType="begin"/>
            </w:r>
            <w:r w:rsidR="00B81639">
              <w:rPr>
                <w:noProof/>
                <w:webHidden/>
              </w:rPr>
              <w:instrText xml:space="preserve"> PAGEREF _Toc360101905 \h </w:instrText>
            </w:r>
            <w:r w:rsidR="00B81639">
              <w:rPr>
                <w:noProof/>
                <w:webHidden/>
              </w:rPr>
            </w:r>
            <w:r w:rsidR="00B81639">
              <w:rPr>
                <w:noProof/>
                <w:webHidden/>
              </w:rPr>
              <w:fldChar w:fldCharType="separate"/>
            </w:r>
            <w:r w:rsidR="00B81639">
              <w:rPr>
                <w:noProof/>
                <w:webHidden/>
              </w:rPr>
              <w:t>9</w:t>
            </w:r>
            <w:r w:rsidR="00B81639">
              <w:rPr>
                <w:noProof/>
                <w:webHidden/>
              </w:rPr>
              <w:fldChar w:fldCharType="end"/>
            </w:r>
          </w:hyperlink>
        </w:p>
        <w:p w:rsidR="00B81639" w:rsidRDefault="00C523D2">
          <w:pPr>
            <w:pStyle w:val="Verzeichnis1"/>
            <w:rPr>
              <w:rFonts w:asciiTheme="minorHAnsi" w:eastAsiaTheme="minorEastAsia" w:hAnsiTheme="minorHAnsi"/>
              <w:b w:val="0"/>
              <w:noProof/>
              <w:sz w:val="22"/>
              <w:szCs w:val="22"/>
              <w:lang w:val="en-IE" w:eastAsia="en-IE"/>
            </w:rPr>
          </w:pPr>
          <w:hyperlink w:anchor="_Toc360101906" w:history="1">
            <w:r w:rsidR="00B81639" w:rsidRPr="00A03576">
              <w:rPr>
                <w:rStyle w:val="Hyperlink"/>
                <w:noProof/>
                <w:lang w:val="en-GB"/>
              </w:rPr>
              <w:t>2</w:t>
            </w:r>
            <w:r w:rsidR="00B81639">
              <w:rPr>
                <w:rFonts w:asciiTheme="minorHAnsi" w:eastAsiaTheme="minorEastAsia" w:hAnsiTheme="minorHAnsi"/>
                <w:b w:val="0"/>
                <w:noProof/>
                <w:sz w:val="22"/>
                <w:szCs w:val="22"/>
                <w:lang w:val="en-IE" w:eastAsia="en-IE"/>
              </w:rPr>
              <w:tab/>
            </w:r>
            <w:r w:rsidR="00B81639" w:rsidRPr="00A03576">
              <w:rPr>
                <w:rStyle w:val="Hyperlink"/>
                <w:noProof/>
                <w:lang w:val="en-GB"/>
              </w:rPr>
              <w:t>Objectives</w:t>
            </w:r>
            <w:r w:rsidR="00B81639">
              <w:rPr>
                <w:noProof/>
                <w:webHidden/>
              </w:rPr>
              <w:tab/>
            </w:r>
            <w:r w:rsidR="00B81639">
              <w:rPr>
                <w:noProof/>
                <w:webHidden/>
              </w:rPr>
              <w:fldChar w:fldCharType="begin"/>
            </w:r>
            <w:r w:rsidR="00B81639">
              <w:rPr>
                <w:noProof/>
                <w:webHidden/>
              </w:rPr>
              <w:instrText xml:space="preserve"> PAGEREF _Toc360101906 \h </w:instrText>
            </w:r>
            <w:r w:rsidR="00B81639">
              <w:rPr>
                <w:noProof/>
                <w:webHidden/>
              </w:rPr>
            </w:r>
            <w:r w:rsidR="00B81639">
              <w:rPr>
                <w:noProof/>
                <w:webHidden/>
              </w:rPr>
              <w:fldChar w:fldCharType="separate"/>
            </w:r>
            <w:r w:rsidR="00B81639">
              <w:rPr>
                <w:noProof/>
                <w:webHidden/>
              </w:rPr>
              <w:t>10</w:t>
            </w:r>
            <w:r w:rsidR="00B81639">
              <w:rPr>
                <w:noProof/>
                <w:webHidden/>
              </w:rPr>
              <w:fldChar w:fldCharType="end"/>
            </w:r>
          </w:hyperlink>
        </w:p>
        <w:p w:rsidR="00B81639" w:rsidRDefault="00C523D2">
          <w:pPr>
            <w:pStyle w:val="Verzeichnis1"/>
            <w:rPr>
              <w:rFonts w:asciiTheme="minorHAnsi" w:eastAsiaTheme="minorEastAsia" w:hAnsiTheme="minorHAnsi"/>
              <w:b w:val="0"/>
              <w:noProof/>
              <w:sz w:val="22"/>
              <w:szCs w:val="22"/>
              <w:lang w:val="en-IE" w:eastAsia="en-IE"/>
            </w:rPr>
          </w:pPr>
          <w:hyperlink w:anchor="_Toc360101907" w:history="1">
            <w:r w:rsidR="00B81639" w:rsidRPr="00A03576">
              <w:rPr>
                <w:rStyle w:val="Hyperlink"/>
                <w:noProof/>
                <w:lang w:val="en-GB"/>
              </w:rPr>
              <w:t>3</w:t>
            </w:r>
            <w:r w:rsidR="00B81639">
              <w:rPr>
                <w:rFonts w:asciiTheme="minorHAnsi" w:eastAsiaTheme="minorEastAsia" w:hAnsiTheme="minorHAnsi"/>
                <w:b w:val="0"/>
                <w:noProof/>
                <w:sz w:val="22"/>
                <w:szCs w:val="22"/>
                <w:lang w:val="en-IE" w:eastAsia="en-IE"/>
              </w:rPr>
              <w:tab/>
            </w:r>
            <w:r w:rsidR="00B81639" w:rsidRPr="00A03576">
              <w:rPr>
                <w:rStyle w:val="Hyperlink"/>
                <w:noProof/>
                <w:lang w:val="en-GB"/>
              </w:rPr>
              <w:t>Method and assumptions</w:t>
            </w:r>
            <w:r w:rsidR="00B81639">
              <w:rPr>
                <w:noProof/>
                <w:webHidden/>
              </w:rPr>
              <w:tab/>
            </w:r>
            <w:r w:rsidR="00B81639">
              <w:rPr>
                <w:noProof/>
                <w:webHidden/>
              </w:rPr>
              <w:fldChar w:fldCharType="begin"/>
            </w:r>
            <w:r w:rsidR="00B81639">
              <w:rPr>
                <w:noProof/>
                <w:webHidden/>
              </w:rPr>
              <w:instrText xml:space="preserve"> PAGEREF _Toc360101907 \h </w:instrText>
            </w:r>
            <w:r w:rsidR="00B81639">
              <w:rPr>
                <w:noProof/>
                <w:webHidden/>
              </w:rPr>
            </w:r>
            <w:r w:rsidR="00B81639">
              <w:rPr>
                <w:noProof/>
                <w:webHidden/>
              </w:rPr>
              <w:fldChar w:fldCharType="separate"/>
            </w:r>
            <w:r w:rsidR="00B81639">
              <w:rPr>
                <w:noProof/>
                <w:webHidden/>
              </w:rPr>
              <w:t>11</w:t>
            </w:r>
            <w:r w:rsidR="00B81639">
              <w:rPr>
                <w:noProof/>
                <w:webHidden/>
              </w:rPr>
              <w:fldChar w:fldCharType="end"/>
            </w:r>
          </w:hyperlink>
        </w:p>
        <w:p w:rsidR="00B81639" w:rsidRDefault="00C523D2">
          <w:pPr>
            <w:pStyle w:val="Verzeichnis2"/>
            <w:tabs>
              <w:tab w:val="right" w:pos="8323"/>
            </w:tabs>
            <w:rPr>
              <w:rFonts w:asciiTheme="minorHAnsi" w:eastAsiaTheme="minorEastAsia" w:hAnsiTheme="minorHAnsi"/>
              <w:noProof/>
              <w:sz w:val="22"/>
              <w:szCs w:val="22"/>
              <w:lang w:val="en-IE" w:eastAsia="en-IE"/>
            </w:rPr>
          </w:pPr>
          <w:hyperlink w:anchor="_Toc360101908" w:history="1">
            <w:r w:rsidR="00B81639" w:rsidRPr="00A03576">
              <w:rPr>
                <w:rStyle w:val="Hyperlink"/>
                <w:noProof/>
                <w:lang w:val="en-GB"/>
              </w:rPr>
              <w:t>3.1</w:t>
            </w:r>
            <w:r w:rsidR="00B81639">
              <w:rPr>
                <w:rFonts w:asciiTheme="minorHAnsi" w:eastAsiaTheme="minorEastAsia" w:hAnsiTheme="minorHAnsi"/>
                <w:noProof/>
                <w:sz w:val="22"/>
                <w:szCs w:val="22"/>
                <w:lang w:val="en-IE" w:eastAsia="en-IE"/>
              </w:rPr>
              <w:tab/>
            </w:r>
            <w:r w:rsidR="00B81639" w:rsidRPr="00A03576">
              <w:rPr>
                <w:rStyle w:val="Hyperlink"/>
                <w:noProof/>
                <w:lang w:val="en-GB"/>
              </w:rPr>
              <w:t>Method</w:t>
            </w:r>
            <w:r w:rsidR="00B81639">
              <w:rPr>
                <w:noProof/>
                <w:webHidden/>
              </w:rPr>
              <w:tab/>
            </w:r>
            <w:r w:rsidR="00B81639">
              <w:rPr>
                <w:noProof/>
                <w:webHidden/>
              </w:rPr>
              <w:fldChar w:fldCharType="begin"/>
            </w:r>
            <w:r w:rsidR="00B81639">
              <w:rPr>
                <w:noProof/>
                <w:webHidden/>
              </w:rPr>
              <w:instrText xml:space="preserve"> PAGEREF _Toc360101908 \h </w:instrText>
            </w:r>
            <w:r w:rsidR="00B81639">
              <w:rPr>
                <w:noProof/>
                <w:webHidden/>
              </w:rPr>
            </w:r>
            <w:r w:rsidR="00B81639">
              <w:rPr>
                <w:noProof/>
                <w:webHidden/>
              </w:rPr>
              <w:fldChar w:fldCharType="separate"/>
            </w:r>
            <w:r w:rsidR="00B81639">
              <w:rPr>
                <w:noProof/>
                <w:webHidden/>
              </w:rPr>
              <w:t>11</w:t>
            </w:r>
            <w:r w:rsidR="00B81639">
              <w:rPr>
                <w:noProof/>
                <w:webHidden/>
              </w:rPr>
              <w:fldChar w:fldCharType="end"/>
            </w:r>
          </w:hyperlink>
        </w:p>
        <w:p w:rsidR="00B81639" w:rsidRDefault="00C523D2">
          <w:pPr>
            <w:pStyle w:val="Verzeichnis2"/>
            <w:tabs>
              <w:tab w:val="right" w:pos="8323"/>
            </w:tabs>
            <w:rPr>
              <w:rFonts w:asciiTheme="minorHAnsi" w:eastAsiaTheme="minorEastAsia" w:hAnsiTheme="minorHAnsi"/>
              <w:noProof/>
              <w:sz w:val="22"/>
              <w:szCs w:val="22"/>
              <w:lang w:val="en-IE" w:eastAsia="en-IE"/>
            </w:rPr>
          </w:pPr>
          <w:hyperlink w:anchor="_Toc360101909" w:history="1">
            <w:r w:rsidR="00B81639" w:rsidRPr="00A03576">
              <w:rPr>
                <w:rStyle w:val="Hyperlink"/>
                <w:noProof/>
                <w:lang w:val="en-GB"/>
              </w:rPr>
              <w:t>3.2</w:t>
            </w:r>
            <w:r w:rsidR="00B81639">
              <w:rPr>
                <w:rFonts w:asciiTheme="minorHAnsi" w:eastAsiaTheme="minorEastAsia" w:hAnsiTheme="minorHAnsi"/>
                <w:noProof/>
                <w:sz w:val="22"/>
                <w:szCs w:val="22"/>
                <w:lang w:val="en-IE" w:eastAsia="en-IE"/>
              </w:rPr>
              <w:tab/>
            </w:r>
            <w:r w:rsidR="00B81639" w:rsidRPr="00A03576">
              <w:rPr>
                <w:rStyle w:val="Hyperlink"/>
                <w:noProof/>
                <w:lang w:val="en-GB"/>
              </w:rPr>
              <w:t>Assumptions</w:t>
            </w:r>
            <w:r w:rsidR="00B81639">
              <w:rPr>
                <w:noProof/>
                <w:webHidden/>
              </w:rPr>
              <w:tab/>
            </w:r>
            <w:r w:rsidR="00B81639">
              <w:rPr>
                <w:noProof/>
                <w:webHidden/>
              </w:rPr>
              <w:fldChar w:fldCharType="begin"/>
            </w:r>
            <w:r w:rsidR="00B81639">
              <w:rPr>
                <w:noProof/>
                <w:webHidden/>
              </w:rPr>
              <w:instrText xml:space="preserve"> PAGEREF _Toc360101909 \h </w:instrText>
            </w:r>
            <w:r w:rsidR="00B81639">
              <w:rPr>
                <w:noProof/>
                <w:webHidden/>
              </w:rPr>
            </w:r>
            <w:r w:rsidR="00B81639">
              <w:rPr>
                <w:noProof/>
                <w:webHidden/>
              </w:rPr>
              <w:fldChar w:fldCharType="separate"/>
            </w:r>
            <w:r w:rsidR="00B81639">
              <w:rPr>
                <w:noProof/>
                <w:webHidden/>
              </w:rPr>
              <w:t>13</w:t>
            </w:r>
            <w:r w:rsidR="00B81639">
              <w:rPr>
                <w:noProof/>
                <w:webHidden/>
              </w:rPr>
              <w:fldChar w:fldCharType="end"/>
            </w:r>
          </w:hyperlink>
        </w:p>
        <w:p w:rsidR="00B81639" w:rsidRDefault="00C523D2">
          <w:pPr>
            <w:pStyle w:val="Verzeichnis1"/>
            <w:rPr>
              <w:rFonts w:asciiTheme="minorHAnsi" w:eastAsiaTheme="minorEastAsia" w:hAnsiTheme="minorHAnsi"/>
              <w:b w:val="0"/>
              <w:noProof/>
              <w:sz w:val="22"/>
              <w:szCs w:val="22"/>
              <w:lang w:val="en-IE" w:eastAsia="en-IE"/>
            </w:rPr>
          </w:pPr>
          <w:hyperlink w:anchor="_Toc360101910" w:history="1">
            <w:r w:rsidR="00B81639" w:rsidRPr="00A03576">
              <w:rPr>
                <w:rStyle w:val="Hyperlink"/>
                <w:noProof/>
                <w:lang w:val="en-GB"/>
              </w:rPr>
              <w:t>4</w:t>
            </w:r>
            <w:r w:rsidR="00B81639">
              <w:rPr>
                <w:rFonts w:asciiTheme="minorHAnsi" w:eastAsiaTheme="minorEastAsia" w:hAnsiTheme="minorHAnsi"/>
                <w:b w:val="0"/>
                <w:noProof/>
                <w:sz w:val="22"/>
                <w:szCs w:val="22"/>
                <w:lang w:val="en-IE" w:eastAsia="en-IE"/>
              </w:rPr>
              <w:tab/>
            </w:r>
            <w:r w:rsidR="00B81639" w:rsidRPr="00A03576">
              <w:rPr>
                <w:rStyle w:val="Hyperlink"/>
                <w:noProof/>
                <w:lang w:val="en-GB"/>
              </w:rPr>
              <w:t>Comparison of the obligations</w:t>
            </w:r>
            <w:r w:rsidR="00B81639">
              <w:rPr>
                <w:noProof/>
                <w:webHidden/>
              </w:rPr>
              <w:tab/>
            </w:r>
            <w:r w:rsidR="00B81639">
              <w:rPr>
                <w:noProof/>
                <w:webHidden/>
              </w:rPr>
              <w:fldChar w:fldCharType="begin"/>
            </w:r>
            <w:r w:rsidR="00B81639">
              <w:rPr>
                <w:noProof/>
                <w:webHidden/>
              </w:rPr>
              <w:instrText xml:space="preserve"> PAGEREF _Toc360101910 \h </w:instrText>
            </w:r>
            <w:r w:rsidR="00B81639">
              <w:rPr>
                <w:noProof/>
                <w:webHidden/>
              </w:rPr>
            </w:r>
            <w:r w:rsidR="00B81639">
              <w:rPr>
                <w:noProof/>
                <w:webHidden/>
              </w:rPr>
              <w:fldChar w:fldCharType="separate"/>
            </w:r>
            <w:r w:rsidR="00B81639">
              <w:rPr>
                <w:noProof/>
                <w:webHidden/>
              </w:rPr>
              <w:t>14</w:t>
            </w:r>
            <w:r w:rsidR="00B81639">
              <w:rPr>
                <w:noProof/>
                <w:webHidden/>
              </w:rPr>
              <w:fldChar w:fldCharType="end"/>
            </w:r>
          </w:hyperlink>
        </w:p>
        <w:p w:rsidR="00B81639" w:rsidRDefault="00C523D2">
          <w:pPr>
            <w:pStyle w:val="Verzeichnis2"/>
            <w:tabs>
              <w:tab w:val="right" w:pos="8323"/>
            </w:tabs>
            <w:rPr>
              <w:rFonts w:asciiTheme="minorHAnsi" w:eastAsiaTheme="minorEastAsia" w:hAnsiTheme="minorHAnsi"/>
              <w:noProof/>
              <w:sz w:val="22"/>
              <w:szCs w:val="22"/>
              <w:lang w:val="en-IE" w:eastAsia="en-IE"/>
            </w:rPr>
          </w:pPr>
          <w:hyperlink w:anchor="_Toc360101911" w:history="1">
            <w:r w:rsidR="00B81639" w:rsidRPr="00A03576">
              <w:rPr>
                <w:rStyle w:val="Hyperlink"/>
                <w:noProof/>
                <w:lang w:val="en-GB"/>
              </w:rPr>
              <w:t>4.1</w:t>
            </w:r>
            <w:r w:rsidR="00B81639">
              <w:rPr>
                <w:rFonts w:asciiTheme="minorHAnsi" w:eastAsiaTheme="minorEastAsia" w:hAnsiTheme="minorHAnsi"/>
                <w:noProof/>
                <w:sz w:val="22"/>
                <w:szCs w:val="22"/>
                <w:lang w:val="en-IE" w:eastAsia="en-IE"/>
              </w:rPr>
              <w:tab/>
            </w:r>
            <w:r w:rsidR="00B81639" w:rsidRPr="00A03576">
              <w:rPr>
                <w:rStyle w:val="Hyperlink"/>
                <w:noProof/>
                <w:lang w:val="en-GB"/>
              </w:rPr>
              <w:t>Obligations that apply in the current and in the proposed situation</w:t>
            </w:r>
            <w:r w:rsidR="00B81639">
              <w:rPr>
                <w:noProof/>
                <w:webHidden/>
              </w:rPr>
              <w:tab/>
            </w:r>
            <w:r w:rsidR="00B81639">
              <w:rPr>
                <w:noProof/>
                <w:webHidden/>
              </w:rPr>
              <w:fldChar w:fldCharType="begin"/>
            </w:r>
            <w:r w:rsidR="00B81639">
              <w:rPr>
                <w:noProof/>
                <w:webHidden/>
              </w:rPr>
              <w:instrText xml:space="preserve"> PAGEREF _Toc360101911 \h </w:instrText>
            </w:r>
            <w:r w:rsidR="00B81639">
              <w:rPr>
                <w:noProof/>
                <w:webHidden/>
              </w:rPr>
            </w:r>
            <w:r w:rsidR="00B81639">
              <w:rPr>
                <w:noProof/>
                <w:webHidden/>
              </w:rPr>
              <w:fldChar w:fldCharType="separate"/>
            </w:r>
            <w:r w:rsidR="00B81639">
              <w:rPr>
                <w:noProof/>
                <w:webHidden/>
              </w:rPr>
              <w:t>15</w:t>
            </w:r>
            <w:r w:rsidR="00B81639">
              <w:rPr>
                <w:noProof/>
                <w:webHidden/>
              </w:rPr>
              <w:fldChar w:fldCharType="end"/>
            </w:r>
          </w:hyperlink>
        </w:p>
        <w:p w:rsidR="00B81639" w:rsidRDefault="00C523D2">
          <w:pPr>
            <w:pStyle w:val="Verzeichnis2"/>
            <w:tabs>
              <w:tab w:val="right" w:pos="8323"/>
            </w:tabs>
            <w:rPr>
              <w:rFonts w:asciiTheme="minorHAnsi" w:eastAsiaTheme="minorEastAsia" w:hAnsiTheme="minorHAnsi"/>
              <w:noProof/>
              <w:sz w:val="22"/>
              <w:szCs w:val="22"/>
              <w:lang w:val="en-IE" w:eastAsia="en-IE"/>
            </w:rPr>
          </w:pPr>
          <w:hyperlink w:anchor="_Toc360101912" w:history="1">
            <w:r w:rsidR="00B81639" w:rsidRPr="00A03576">
              <w:rPr>
                <w:rStyle w:val="Hyperlink"/>
                <w:noProof/>
                <w:lang w:val="en-GB"/>
              </w:rPr>
              <w:t>4.2</w:t>
            </w:r>
            <w:r w:rsidR="00B81639">
              <w:rPr>
                <w:rFonts w:asciiTheme="minorHAnsi" w:eastAsiaTheme="minorEastAsia" w:hAnsiTheme="minorHAnsi"/>
                <w:noProof/>
                <w:sz w:val="22"/>
                <w:szCs w:val="22"/>
                <w:lang w:val="en-IE" w:eastAsia="en-IE"/>
              </w:rPr>
              <w:tab/>
            </w:r>
            <w:r w:rsidR="00B81639" w:rsidRPr="00A03576">
              <w:rPr>
                <w:rStyle w:val="Hyperlink"/>
                <w:noProof/>
                <w:lang w:val="en-GB"/>
              </w:rPr>
              <w:t>Obligations that only apply in the current situation</w:t>
            </w:r>
            <w:r w:rsidR="00B81639">
              <w:rPr>
                <w:noProof/>
                <w:webHidden/>
              </w:rPr>
              <w:tab/>
            </w:r>
            <w:r w:rsidR="00B81639">
              <w:rPr>
                <w:noProof/>
                <w:webHidden/>
              </w:rPr>
              <w:fldChar w:fldCharType="begin"/>
            </w:r>
            <w:r w:rsidR="00B81639">
              <w:rPr>
                <w:noProof/>
                <w:webHidden/>
              </w:rPr>
              <w:instrText xml:space="preserve"> PAGEREF _Toc360101912 \h </w:instrText>
            </w:r>
            <w:r w:rsidR="00B81639">
              <w:rPr>
                <w:noProof/>
                <w:webHidden/>
              </w:rPr>
            </w:r>
            <w:r w:rsidR="00B81639">
              <w:rPr>
                <w:noProof/>
                <w:webHidden/>
              </w:rPr>
              <w:fldChar w:fldCharType="separate"/>
            </w:r>
            <w:r w:rsidR="00B81639">
              <w:rPr>
                <w:noProof/>
                <w:webHidden/>
              </w:rPr>
              <w:t>19</w:t>
            </w:r>
            <w:r w:rsidR="00B81639">
              <w:rPr>
                <w:noProof/>
                <w:webHidden/>
              </w:rPr>
              <w:fldChar w:fldCharType="end"/>
            </w:r>
          </w:hyperlink>
        </w:p>
        <w:p w:rsidR="00B81639" w:rsidRDefault="00C523D2">
          <w:pPr>
            <w:pStyle w:val="Verzeichnis2"/>
            <w:tabs>
              <w:tab w:val="right" w:pos="8323"/>
            </w:tabs>
            <w:rPr>
              <w:rFonts w:asciiTheme="minorHAnsi" w:eastAsiaTheme="minorEastAsia" w:hAnsiTheme="minorHAnsi"/>
              <w:noProof/>
              <w:sz w:val="22"/>
              <w:szCs w:val="22"/>
              <w:lang w:val="en-IE" w:eastAsia="en-IE"/>
            </w:rPr>
          </w:pPr>
          <w:hyperlink w:anchor="_Toc360101913" w:history="1">
            <w:r w:rsidR="00B81639" w:rsidRPr="00A03576">
              <w:rPr>
                <w:rStyle w:val="Hyperlink"/>
                <w:noProof/>
                <w:lang w:val="en-GB"/>
              </w:rPr>
              <w:t>4.3</w:t>
            </w:r>
            <w:r w:rsidR="00B81639">
              <w:rPr>
                <w:rFonts w:asciiTheme="minorHAnsi" w:eastAsiaTheme="minorEastAsia" w:hAnsiTheme="minorHAnsi"/>
                <w:noProof/>
                <w:sz w:val="22"/>
                <w:szCs w:val="22"/>
                <w:lang w:val="en-IE" w:eastAsia="en-IE"/>
              </w:rPr>
              <w:tab/>
            </w:r>
            <w:r w:rsidR="00B81639" w:rsidRPr="00A03576">
              <w:rPr>
                <w:rStyle w:val="Hyperlink"/>
                <w:noProof/>
                <w:lang w:val="en-GB"/>
              </w:rPr>
              <w:t>Obligations that only apply in the proposed situation</w:t>
            </w:r>
            <w:r w:rsidR="00B81639">
              <w:rPr>
                <w:noProof/>
                <w:webHidden/>
              </w:rPr>
              <w:tab/>
            </w:r>
            <w:r w:rsidR="00B81639">
              <w:rPr>
                <w:noProof/>
                <w:webHidden/>
              </w:rPr>
              <w:fldChar w:fldCharType="begin"/>
            </w:r>
            <w:r w:rsidR="00B81639">
              <w:rPr>
                <w:noProof/>
                <w:webHidden/>
              </w:rPr>
              <w:instrText xml:space="preserve"> PAGEREF _Toc360101913 \h </w:instrText>
            </w:r>
            <w:r w:rsidR="00B81639">
              <w:rPr>
                <w:noProof/>
                <w:webHidden/>
              </w:rPr>
            </w:r>
            <w:r w:rsidR="00B81639">
              <w:rPr>
                <w:noProof/>
                <w:webHidden/>
              </w:rPr>
              <w:fldChar w:fldCharType="separate"/>
            </w:r>
            <w:r w:rsidR="00B81639">
              <w:rPr>
                <w:noProof/>
                <w:webHidden/>
              </w:rPr>
              <w:t>20</w:t>
            </w:r>
            <w:r w:rsidR="00B81639">
              <w:rPr>
                <w:noProof/>
                <w:webHidden/>
              </w:rPr>
              <w:fldChar w:fldCharType="end"/>
            </w:r>
          </w:hyperlink>
        </w:p>
        <w:p w:rsidR="00B81639" w:rsidRDefault="00C523D2">
          <w:pPr>
            <w:pStyle w:val="Verzeichnis1"/>
            <w:rPr>
              <w:rFonts w:asciiTheme="minorHAnsi" w:eastAsiaTheme="minorEastAsia" w:hAnsiTheme="minorHAnsi"/>
              <w:b w:val="0"/>
              <w:noProof/>
              <w:sz w:val="22"/>
              <w:szCs w:val="22"/>
              <w:lang w:val="en-IE" w:eastAsia="en-IE"/>
            </w:rPr>
          </w:pPr>
          <w:hyperlink w:anchor="_Toc360101914" w:history="1">
            <w:r w:rsidR="00B81639" w:rsidRPr="00A03576">
              <w:rPr>
                <w:rStyle w:val="Hyperlink"/>
                <w:noProof/>
                <w:lang w:val="en-GB"/>
              </w:rPr>
              <w:t>5</w:t>
            </w:r>
            <w:r w:rsidR="00B81639">
              <w:rPr>
                <w:rFonts w:asciiTheme="minorHAnsi" w:eastAsiaTheme="minorEastAsia" w:hAnsiTheme="minorHAnsi"/>
                <w:b w:val="0"/>
                <w:noProof/>
                <w:sz w:val="22"/>
                <w:szCs w:val="22"/>
                <w:lang w:val="en-IE" w:eastAsia="en-IE"/>
              </w:rPr>
              <w:tab/>
            </w:r>
            <w:r w:rsidR="00B81639" w:rsidRPr="00A03576">
              <w:rPr>
                <w:rStyle w:val="Hyperlink"/>
                <w:noProof/>
                <w:lang w:val="en-GB"/>
              </w:rPr>
              <w:t>Comparison of administrative burden and compliance costs</w:t>
            </w:r>
            <w:r w:rsidR="00B81639">
              <w:rPr>
                <w:noProof/>
                <w:webHidden/>
              </w:rPr>
              <w:tab/>
            </w:r>
            <w:r w:rsidR="00B81639">
              <w:rPr>
                <w:noProof/>
                <w:webHidden/>
              </w:rPr>
              <w:fldChar w:fldCharType="begin"/>
            </w:r>
            <w:r w:rsidR="00B81639">
              <w:rPr>
                <w:noProof/>
                <w:webHidden/>
              </w:rPr>
              <w:instrText xml:space="preserve"> PAGEREF _Toc360101914 \h </w:instrText>
            </w:r>
            <w:r w:rsidR="00B81639">
              <w:rPr>
                <w:noProof/>
                <w:webHidden/>
              </w:rPr>
            </w:r>
            <w:r w:rsidR="00B81639">
              <w:rPr>
                <w:noProof/>
                <w:webHidden/>
              </w:rPr>
              <w:fldChar w:fldCharType="separate"/>
            </w:r>
            <w:r w:rsidR="00B81639">
              <w:rPr>
                <w:noProof/>
                <w:webHidden/>
              </w:rPr>
              <w:t>25</w:t>
            </w:r>
            <w:r w:rsidR="00B81639">
              <w:rPr>
                <w:noProof/>
                <w:webHidden/>
              </w:rPr>
              <w:fldChar w:fldCharType="end"/>
            </w:r>
          </w:hyperlink>
        </w:p>
        <w:p w:rsidR="00B81639" w:rsidRDefault="00C523D2">
          <w:pPr>
            <w:pStyle w:val="Verzeichnis2"/>
            <w:tabs>
              <w:tab w:val="right" w:pos="8323"/>
            </w:tabs>
            <w:rPr>
              <w:rFonts w:asciiTheme="minorHAnsi" w:eastAsiaTheme="minorEastAsia" w:hAnsiTheme="minorHAnsi"/>
              <w:noProof/>
              <w:sz w:val="22"/>
              <w:szCs w:val="22"/>
              <w:lang w:val="en-IE" w:eastAsia="en-IE"/>
            </w:rPr>
          </w:pPr>
          <w:hyperlink w:anchor="_Toc360101915" w:history="1">
            <w:r w:rsidR="00B81639" w:rsidRPr="00A03576">
              <w:rPr>
                <w:rStyle w:val="Hyperlink"/>
                <w:noProof/>
                <w:lang w:val="en-GB"/>
              </w:rPr>
              <w:t>5.1</w:t>
            </w:r>
            <w:r w:rsidR="00B81639">
              <w:rPr>
                <w:rFonts w:asciiTheme="minorHAnsi" w:eastAsiaTheme="minorEastAsia" w:hAnsiTheme="minorHAnsi"/>
                <w:noProof/>
                <w:sz w:val="22"/>
                <w:szCs w:val="22"/>
                <w:lang w:val="en-IE" w:eastAsia="en-IE"/>
              </w:rPr>
              <w:tab/>
            </w:r>
            <w:r w:rsidR="00B81639" w:rsidRPr="00A03576">
              <w:rPr>
                <w:rStyle w:val="Hyperlink"/>
                <w:noProof/>
                <w:lang w:val="en-GB"/>
              </w:rPr>
              <w:t>Administrative burden</w:t>
            </w:r>
            <w:r w:rsidR="00B81639">
              <w:rPr>
                <w:noProof/>
                <w:webHidden/>
              </w:rPr>
              <w:tab/>
            </w:r>
            <w:r w:rsidR="00B81639">
              <w:rPr>
                <w:noProof/>
                <w:webHidden/>
              </w:rPr>
              <w:fldChar w:fldCharType="begin"/>
            </w:r>
            <w:r w:rsidR="00B81639">
              <w:rPr>
                <w:noProof/>
                <w:webHidden/>
              </w:rPr>
              <w:instrText xml:space="preserve"> PAGEREF _Toc360101915 \h </w:instrText>
            </w:r>
            <w:r w:rsidR="00B81639">
              <w:rPr>
                <w:noProof/>
                <w:webHidden/>
              </w:rPr>
            </w:r>
            <w:r w:rsidR="00B81639">
              <w:rPr>
                <w:noProof/>
                <w:webHidden/>
              </w:rPr>
              <w:fldChar w:fldCharType="separate"/>
            </w:r>
            <w:r w:rsidR="00B81639">
              <w:rPr>
                <w:noProof/>
                <w:webHidden/>
              </w:rPr>
              <w:t>25</w:t>
            </w:r>
            <w:r w:rsidR="00B81639">
              <w:rPr>
                <w:noProof/>
                <w:webHidden/>
              </w:rPr>
              <w:fldChar w:fldCharType="end"/>
            </w:r>
          </w:hyperlink>
        </w:p>
        <w:p w:rsidR="00B81639" w:rsidRDefault="00C523D2">
          <w:pPr>
            <w:pStyle w:val="Verzeichnis2"/>
            <w:tabs>
              <w:tab w:val="right" w:pos="8323"/>
            </w:tabs>
            <w:rPr>
              <w:rFonts w:asciiTheme="minorHAnsi" w:eastAsiaTheme="minorEastAsia" w:hAnsiTheme="minorHAnsi"/>
              <w:noProof/>
              <w:sz w:val="22"/>
              <w:szCs w:val="22"/>
              <w:lang w:val="en-IE" w:eastAsia="en-IE"/>
            </w:rPr>
          </w:pPr>
          <w:hyperlink w:anchor="_Toc360101916" w:history="1">
            <w:r w:rsidR="00B81639" w:rsidRPr="00A03576">
              <w:rPr>
                <w:rStyle w:val="Hyperlink"/>
                <w:noProof/>
                <w:lang w:val="en-GB"/>
              </w:rPr>
              <w:t>5.2</w:t>
            </w:r>
            <w:r w:rsidR="00B81639">
              <w:rPr>
                <w:rFonts w:asciiTheme="minorHAnsi" w:eastAsiaTheme="minorEastAsia" w:hAnsiTheme="minorHAnsi"/>
                <w:noProof/>
                <w:sz w:val="22"/>
                <w:szCs w:val="22"/>
                <w:lang w:val="en-IE" w:eastAsia="en-IE"/>
              </w:rPr>
              <w:tab/>
            </w:r>
            <w:r w:rsidR="00B81639" w:rsidRPr="00A03576">
              <w:rPr>
                <w:rStyle w:val="Hyperlink"/>
                <w:noProof/>
                <w:lang w:val="en-GB"/>
              </w:rPr>
              <w:t>Compliance costs</w:t>
            </w:r>
            <w:r w:rsidR="00B81639">
              <w:rPr>
                <w:noProof/>
                <w:webHidden/>
              </w:rPr>
              <w:tab/>
            </w:r>
            <w:r w:rsidR="00B81639">
              <w:rPr>
                <w:noProof/>
                <w:webHidden/>
              </w:rPr>
              <w:fldChar w:fldCharType="begin"/>
            </w:r>
            <w:r w:rsidR="00B81639">
              <w:rPr>
                <w:noProof/>
                <w:webHidden/>
              </w:rPr>
              <w:instrText xml:space="preserve"> PAGEREF _Toc360101916 \h </w:instrText>
            </w:r>
            <w:r w:rsidR="00B81639">
              <w:rPr>
                <w:noProof/>
                <w:webHidden/>
              </w:rPr>
            </w:r>
            <w:r w:rsidR="00B81639">
              <w:rPr>
                <w:noProof/>
                <w:webHidden/>
              </w:rPr>
              <w:fldChar w:fldCharType="separate"/>
            </w:r>
            <w:r w:rsidR="00B81639">
              <w:rPr>
                <w:noProof/>
                <w:webHidden/>
              </w:rPr>
              <w:t>26</w:t>
            </w:r>
            <w:r w:rsidR="00B81639">
              <w:rPr>
                <w:noProof/>
                <w:webHidden/>
              </w:rPr>
              <w:fldChar w:fldCharType="end"/>
            </w:r>
          </w:hyperlink>
        </w:p>
        <w:p w:rsidR="00B81639" w:rsidRDefault="00C523D2">
          <w:pPr>
            <w:pStyle w:val="Verzeichnis2"/>
            <w:tabs>
              <w:tab w:val="right" w:pos="8323"/>
            </w:tabs>
            <w:rPr>
              <w:rFonts w:asciiTheme="minorHAnsi" w:eastAsiaTheme="minorEastAsia" w:hAnsiTheme="minorHAnsi"/>
              <w:noProof/>
              <w:sz w:val="22"/>
              <w:szCs w:val="22"/>
              <w:lang w:val="en-IE" w:eastAsia="en-IE"/>
            </w:rPr>
          </w:pPr>
          <w:hyperlink w:anchor="_Toc360101917" w:history="1">
            <w:r w:rsidR="00B81639" w:rsidRPr="00A03576">
              <w:rPr>
                <w:rStyle w:val="Hyperlink"/>
                <w:noProof/>
                <w:lang w:val="en-GB"/>
              </w:rPr>
              <w:t>5.3</w:t>
            </w:r>
            <w:r w:rsidR="00B81639">
              <w:rPr>
                <w:rFonts w:asciiTheme="minorHAnsi" w:eastAsiaTheme="minorEastAsia" w:hAnsiTheme="minorHAnsi"/>
                <w:noProof/>
                <w:sz w:val="22"/>
                <w:szCs w:val="22"/>
                <w:lang w:val="en-IE" w:eastAsia="en-IE"/>
              </w:rPr>
              <w:tab/>
            </w:r>
            <w:r w:rsidR="00B81639" w:rsidRPr="00A03576">
              <w:rPr>
                <w:rStyle w:val="Hyperlink"/>
                <w:noProof/>
                <w:lang w:val="en-GB"/>
              </w:rPr>
              <w:t>Summary of results</w:t>
            </w:r>
            <w:r w:rsidR="00B81639">
              <w:rPr>
                <w:noProof/>
                <w:webHidden/>
              </w:rPr>
              <w:tab/>
            </w:r>
            <w:r w:rsidR="00B81639">
              <w:rPr>
                <w:noProof/>
                <w:webHidden/>
              </w:rPr>
              <w:fldChar w:fldCharType="begin"/>
            </w:r>
            <w:r w:rsidR="00B81639">
              <w:rPr>
                <w:noProof/>
                <w:webHidden/>
              </w:rPr>
              <w:instrText xml:space="preserve"> PAGEREF _Toc360101917 \h </w:instrText>
            </w:r>
            <w:r w:rsidR="00B81639">
              <w:rPr>
                <w:noProof/>
                <w:webHidden/>
              </w:rPr>
            </w:r>
            <w:r w:rsidR="00B81639">
              <w:rPr>
                <w:noProof/>
                <w:webHidden/>
              </w:rPr>
              <w:fldChar w:fldCharType="separate"/>
            </w:r>
            <w:r w:rsidR="00B81639">
              <w:rPr>
                <w:noProof/>
                <w:webHidden/>
              </w:rPr>
              <w:t>27</w:t>
            </w:r>
            <w:r w:rsidR="00B81639">
              <w:rPr>
                <w:noProof/>
                <w:webHidden/>
              </w:rPr>
              <w:fldChar w:fldCharType="end"/>
            </w:r>
          </w:hyperlink>
        </w:p>
        <w:p w:rsidR="00B81639" w:rsidRDefault="00C523D2">
          <w:pPr>
            <w:pStyle w:val="Verzeichnis1"/>
            <w:rPr>
              <w:rFonts w:asciiTheme="minorHAnsi" w:eastAsiaTheme="minorEastAsia" w:hAnsiTheme="minorHAnsi"/>
              <w:b w:val="0"/>
              <w:noProof/>
              <w:sz w:val="22"/>
              <w:szCs w:val="22"/>
              <w:lang w:val="en-IE" w:eastAsia="en-IE"/>
            </w:rPr>
          </w:pPr>
          <w:hyperlink w:anchor="_Toc360101918" w:history="1">
            <w:r w:rsidR="00B81639" w:rsidRPr="00A03576">
              <w:rPr>
                <w:rStyle w:val="Hyperlink"/>
                <w:noProof/>
                <w:lang w:val="en-GB"/>
              </w:rPr>
              <w:t>6</w:t>
            </w:r>
            <w:r w:rsidR="00B81639">
              <w:rPr>
                <w:rFonts w:asciiTheme="minorHAnsi" w:eastAsiaTheme="minorEastAsia" w:hAnsiTheme="minorHAnsi"/>
                <w:b w:val="0"/>
                <w:noProof/>
                <w:sz w:val="22"/>
                <w:szCs w:val="22"/>
                <w:lang w:val="en-IE" w:eastAsia="en-IE"/>
              </w:rPr>
              <w:tab/>
            </w:r>
            <w:r w:rsidR="00B81639" w:rsidRPr="00A03576">
              <w:rPr>
                <w:rStyle w:val="Hyperlink"/>
                <w:noProof/>
                <w:lang w:val="en-GB"/>
              </w:rPr>
              <w:t>Comparison with other studies</w:t>
            </w:r>
            <w:r w:rsidR="00B81639">
              <w:rPr>
                <w:noProof/>
                <w:webHidden/>
              </w:rPr>
              <w:tab/>
            </w:r>
            <w:r w:rsidR="00B81639">
              <w:rPr>
                <w:noProof/>
                <w:webHidden/>
              </w:rPr>
              <w:fldChar w:fldCharType="begin"/>
            </w:r>
            <w:r w:rsidR="00B81639">
              <w:rPr>
                <w:noProof/>
                <w:webHidden/>
              </w:rPr>
              <w:instrText xml:space="preserve"> PAGEREF _Toc360101918 \h </w:instrText>
            </w:r>
            <w:r w:rsidR="00B81639">
              <w:rPr>
                <w:noProof/>
                <w:webHidden/>
              </w:rPr>
            </w:r>
            <w:r w:rsidR="00B81639">
              <w:rPr>
                <w:noProof/>
                <w:webHidden/>
              </w:rPr>
              <w:fldChar w:fldCharType="separate"/>
            </w:r>
            <w:r w:rsidR="00B81639">
              <w:rPr>
                <w:noProof/>
                <w:webHidden/>
              </w:rPr>
              <w:t>29</w:t>
            </w:r>
            <w:r w:rsidR="00B81639">
              <w:rPr>
                <w:noProof/>
                <w:webHidden/>
              </w:rPr>
              <w:fldChar w:fldCharType="end"/>
            </w:r>
          </w:hyperlink>
        </w:p>
        <w:p w:rsidR="00B81639" w:rsidRDefault="00C523D2">
          <w:pPr>
            <w:pStyle w:val="Verzeichnis2"/>
            <w:tabs>
              <w:tab w:val="right" w:pos="8323"/>
            </w:tabs>
            <w:rPr>
              <w:rFonts w:asciiTheme="minorHAnsi" w:eastAsiaTheme="minorEastAsia" w:hAnsiTheme="minorHAnsi"/>
              <w:noProof/>
              <w:sz w:val="22"/>
              <w:szCs w:val="22"/>
              <w:lang w:val="en-IE" w:eastAsia="en-IE"/>
            </w:rPr>
          </w:pPr>
          <w:hyperlink w:anchor="_Toc360101919" w:history="1">
            <w:r w:rsidR="00B81639" w:rsidRPr="00A03576">
              <w:rPr>
                <w:rStyle w:val="Hyperlink"/>
                <w:noProof/>
                <w:lang w:val="en-GB"/>
              </w:rPr>
              <w:t>6.1</w:t>
            </w:r>
            <w:r w:rsidR="00B81639">
              <w:rPr>
                <w:rFonts w:asciiTheme="minorHAnsi" w:eastAsiaTheme="minorEastAsia" w:hAnsiTheme="minorHAnsi"/>
                <w:noProof/>
                <w:sz w:val="22"/>
                <w:szCs w:val="22"/>
                <w:lang w:val="en-IE" w:eastAsia="en-IE"/>
              </w:rPr>
              <w:tab/>
            </w:r>
            <w:r w:rsidR="00B81639" w:rsidRPr="00A03576">
              <w:rPr>
                <w:rStyle w:val="Hyperlink"/>
                <w:noProof/>
                <w:lang w:val="en-GB"/>
              </w:rPr>
              <w:t>The impact of the Data Protection Regulation in the EU</w:t>
            </w:r>
            <w:r w:rsidR="00B81639">
              <w:rPr>
                <w:noProof/>
                <w:webHidden/>
              </w:rPr>
              <w:tab/>
            </w:r>
            <w:r w:rsidR="00B81639">
              <w:rPr>
                <w:noProof/>
                <w:webHidden/>
              </w:rPr>
              <w:fldChar w:fldCharType="begin"/>
            </w:r>
            <w:r w:rsidR="00B81639">
              <w:rPr>
                <w:noProof/>
                <w:webHidden/>
              </w:rPr>
              <w:instrText xml:space="preserve"> PAGEREF _Toc360101919 \h </w:instrText>
            </w:r>
            <w:r w:rsidR="00B81639">
              <w:rPr>
                <w:noProof/>
                <w:webHidden/>
              </w:rPr>
            </w:r>
            <w:r w:rsidR="00B81639">
              <w:rPr>
                <w:noProof/>
                <w:webHidden/>
              </w:rPr>
              <w:fldChar w:fldCharType="separate"/>
            </w:r>
            <w:r w:rsidR="00B81639">
              <w:rPr>
                <w:noProof/>
                <w:webHidden/>
              </w:rPr>
              <w:t>29</w:t>
            </w:r>
            <w:r w:rsidR="00B81639">
              <w:rPr>
                <w:noProof/>
                <w:webHidden/>
              </w:rPr>
              <w:fldChar w:fldCharType="end"/>
            </w:r>
          </w:hyperlink>
        </w:p>
        <w:p w:rsidR="00B81639" w:rsidRDefault="00C523D2">
          <w:pPr>
            <w:pStyle w:val="Verzeichnis2"/>
            <w:tabs>
              <w:tab w:val="right" w:pos="8323"/>
            </w:tabs>
            <w:rPr>
              <w:rFonts w:asciiTheme="minorHAnsi" w:eastAsiaTheme="minorEastAsia" w:hAnsiTheme="minorHAnsi"/>
              <w:noProof/>
              <w:sz w:val="22"/>
              <w:szCs w:val="22"/>
              <w:lang w:val="en-IE" w:eastAsia="en-IE"/>
            </w:rPr>
          </w:pPr>
          <w:hyperlink w:anchor="_Toc360101920" w:history="1">
            <w:r w:rsidR="00B81639" w:rsidRPr="00A03576">
              <w:rPr>
                <w:rStyle w:val="Hyperlink"/>
                <w:noProof/>
                <w:lang w:val="en-GB"/>
              </w:rPr>
              <w:t>6.2</w:t>
            </w:r>
            <w:r w:rsidR="00B81639">
              <w:rPr>
                <w:rFonts w:asciiTheme="minorHAnsi" w:eastAsiaTheme="minorEastAsia" w:hAnsiTheme="minorHAnsi"/>
                <w:noProof/>
                <w:sz w:val="22"/>
                <w:szCs w:val="22"/>
                <w:lang w:val="en-IE" w:eastAsia="en-IE"/>
              </w:rPr>
              <w:tab/>
            </w:r>
            <w:r w:rsidR="00B81639" w:rsidRPr="00A03576">
              <w:rPr>
                <w:rStyle w:val="Hyperlink"/>
                <w:noProof/>
                <w:lang w:val="en-GB"/>
              </w:rPr>
              <w:t>Impact on business of the proposed Data Protection Regulation</w:t>
            </w:r>
            <w:r w:rsidR="00B81639">
              <w:rPr>
                <w:noProof/>
                <w:webHidden/>
              </w:rPr>
              <w:tab/>
            </w:r>
            <w:r w:rsidR="00B81639">
              <w:rPr>
                <w:noProof/>
                <w:webHidden/>
              </w:rPr>
              <w:fldChar w:fldCharType="begin"/>
            </w:r>
            <w:r w:rsidR="00B81639">
              <w:rPr>
                <w:noProof/>
                <w:webHidden/>
              </w:rPr>
              <w:instrText xml:space="preserve"> PAGEREF _Toc360101920 \h </w:instrText>
            </w:r>
            <w:r w:rsidR="00B81639">
              <w:rPr>
                <w:noProof/>
                <w:webHidden/>
              </w:rPr>
            </w:r>
            <w:r w:rsidR="00B81639">
              <w:rPr>
                <w:noProof/>
                <w:webHidden/>
              </w:rPr>
              <w:fldChar w:fldCharType="separate"/>
            </w:r>
            <w:r w:rsidR="00B81639">
              <w:rPr>
                <w:noProof/>
                <w:webHidden/>
              </w:rPr>
              <w:t>31</w:t>
            </w:r>
            <w:r w:rsidR="00B81639">
              <w:rPr>
                <w:noProof/>
                <w:webHidden/>
              </w:rPr>
              <w:fldChar w:fldCharType="end"/>
            </w:r>
          </w:hyperlink>
        </w:p>
        <w:p w:rsidR="00B81639" w:rsidRDefault="00C523D2">
          <w:pPr>
            <w:pStyle w:val="Verzeichnis2"/>
            <w:tabs>
              <w:tab w:val="right" w:pos="8323"/>
            </w:tabs>
            <w:rPr>
              <w:rFonts w:asciiTheme="minorHAnsi" w:eastAsiaTheme="minorEastAsia" w:hAnsiTheme="minorHAnsi"/>
              <w:noProof/>
              <w:sz w:val="22"/>
              <w:szCs w:val="22"/>
              <w:lang w:val="en-IE" w:eastAsia="en-IE"/>
            </w:rPr>
          </w:pPr>
          <w:hyperlink w:anchor="_Toc360101921" w:history="1">
            <w:r w:rsidR="00B81639" w:rsidRPr="00A03576">
              <w:rPr>
                <w:rStyle w:val="Hyperlink"/>
                <w:noProof/>
                <w:lang w:val="en-GB"/>
              </w:rPr>
              <w:t>6.3</w:t>
            </w:r>
            <w:r w:rsidR="00B81639">
              <w:rPr>
                <w:rFonts w:asciiTheme="minorHAnsi" w:eastAsiaTheme="minorEastAsia" w:hAnsiTheme="minorHAnsi"/>
                <w:noProof/>
                <w:sz w:val="22"/>
                <w:szCs w:val="22"/>
                <w:lang w:val="en-IE" w:eastAsia="en-IE"/>
              </w:rPr>
              <w:tab/>
            </w:r>
            <w:r w:rsidR="00B81639" w:rsidRPr="00A03576">
              <w:rPr>
                <w:rStyle w:val="Hyperlink"/>
                <w:noProof/>
                <w:lang w:val="en-GB"/>
              </w:rPr>
              <w:t>Rough estimate of DPR cost to Dutch business</w:t>
            </w:r>
            <w:r w:rsidR="00B81639">
              <w:rPr>
                <w:noProof/>
                <w:webHidden/>
              </w:rPr>
              <w:tab/>
            </w:r>
            <w:r w:rsidR="00B81639">
              <w:rPr>
                <w:noProof/>
                <w:webHidden/>
              </w:rPr>
              <w:fldChar w:fldCharType="begin"/>
            </w:r>
            <w:r w:rsidR="00B81639">
              <w:rPr>
                <w:noProof/>
                <w:webHidden/>
              </w:rPr>
              <w:instrText xml:space="preserve"> PAGEREF _Toc360101921 \h </w:instrText>
            </w:r>
            <w:r w:rsidR="00B81639">
              <w:rPr>
                <w:noProof/>
                <w:webHidden/>
              </w:rPr>
            </w:r>
            <w:r w:rsidR="00B81639">
              <w:rPr>
                <w:noProof/>
                <w:webHidden/>
              </w:rPr>
              <w:fldChar w:fldCharType="separate"/>
            </w:r>
            <w:r w:rsidR="00B81639">
              <w:rPr>
                <w:noProof/>
                <w:webHidden/>
              </w:rPr>
              <w:t>33</w:t>
            </w:r>
            <w:r w:rsidR="00B81639">
              <w:rPr>
                <w:noProof/>
                <w:webHidden/>
              </w:rPr>
              <w:fldChar w:fldCharType="end"/>
            </w:r>
          </w:hyperlink>
        </w:p>
        <w:p w:rsidR="00AD42C4" w:rsidRPr="00044E23" w:rsidRDefault="00772565">
          <w:pPr>
            <w:rPr>
              <w:lang w:val="en-GB"/>
            </w:rPr>
          </w:pPr>
          <w:r w:rsidRPr="00044E23">
            <w:rPr>
              <w:b/>
              <w:lang w:val="en-GB"/>
            </w:rPr>
            <w:fldChar w:fldCharType="end"/>
          </w:r>
        </w:p>
      </w:sdtContent>
    </w:sdt>
    <w:p w:rsidR="002B5253" w:rsidRPr="00044E23" w:rsidRDefault="002B5253" w:rsidP="002B5253">
      <w:pPr>
        <w:pStyle w:val="berschrift1"/>
        <w:numPr>
          <w:ilvl w:val="0"/>
          <w:numId w:val="0"/>
        </w:numPr>
        <w:rPr>
          <w:lang w:val="en-GB"/>
        </w:rPr>
      </w:pPr>
      <w:bookmarkStart w:id="1" w:name="_Toc360101904"/>
      <w:r w:rsidRPr="00044E23">
        <w:rPr>
          <w:lang w:val="en-GB"/>
        </w:rPr>
        <w:t>Summary and conclusions</w:t>
      </w:r>
      <w:bookmarkEnd w:id="1"/>
    </w:p>
    <w:p w:rsidR="003A59C5" w:rsidRPr="00044E23" w:rsidRDefault="003A59C5" w:rsidP="003A59C5">
      <w:pPr>
        <w:pStyle w:val="berschrift4"/>
        <w:rPr>
          <w:lang w:val="en-GB"/>
        </w:rPr>
      </w:pPr>
      <w:r w:rsidRPr="00044E23">
        <w:rPr>
          <w:lang w:val="en-GB"/>
        </w:rPr>
        <w:t>Introduction</w:t>
      </w:r>
    </w:p>
    <w:p w:rsidR="002B5253" w:rsidRPr="00044E23" w:rsidRDefault="009D7741" w:rsidP="002B5253">
      <w:pPr>
        <w:rPr>
          <w:lang w:val="en-GB"/>
        </w:rPr>
      </w:pPr>
      <w:r w:rsidRPr="00044E23">
        <w:rPr>
          <w:lang w:val="en-GB"/>
        </w:rPr>
        <w:t>A review of the European Data Protection Directive from 1995 was due in 2012 to bring it into line with advances in technology. After a broad consultation, it was decided to replace the Directive with the European Data Protection Regulation</w:t>
      </w:r>
      <w:r w:rsidR="00BC4F07" w:rsidRPr="00044E23">
        <w:rPr>
          <w:rStyle w:val="Funotenzeichen"/>
          <w:lang w:val="en-GB"/>
        </w:rPr>
        <w:footnoteReference w:id="1"/>
      </w:r>
      <w:r w:rsidRPr="00044E23">
        <w:rPr>
          <w:lang w:val="en-GB"/>
        </w:rPr>
        <w:t>. This report quantifies the impact (in terms of administrative burden and compliance costs</w:t>
      </w:r>
      <w:r w:rsidR="00C1691E" w:rsidRPr="00044E23">
        <w:rPr>
          <w:rStyle w:val="Funotenzeichen"/>
          <w:lang w:val="en-GB"/>
        </w:rPr>
        <w:footnoteReference w:id="2"/>
      </w:r>
      <w:r w:rsidRPr="00044E23">
        <w:rPr>
          <w:lang w:val="en-GB"/>
        </w:rPr>
        <w:t>) of the Data Protection Regulation on Dutch businesses.</w:t>
      </w:r>
    </w:p>
    <w:p w:rsidR="003A59C5" w:rsidRPr="00044E23" w:rsidRDefault="003A59C5" w:rsidP="003A59C5">
      <w:pPr>
        <w:pStyle w:val="berschrift4"/>
        <w:rPr>
          <w:lang w:val="en-GB"/>
        </w:rPr>
      </w:pPr>
      <w:r w:rsidRPr="00044E23">
        <w:rPr>
          <w:lang w:val="en-GB"/>
        </w:rPr>
        <w:t>Findings</w:t>
      </w:r>
    </w:p>
    <w:p w:rsidR="00FB48C3" w:rsidRPr="00044E23" w:rsidRDefault="00DE1A7B" w:rsidP="00FB48C3">
      <w:pPr>
        <w:rPr>
          <w:lang w:val="en-GB"/>
        </w:rPr>
      </w:pPr>
      <w:r w:rsidRPr="00044E23">
        <w:rPr>
          <w:lang w:val="en-GB"/>
        </w:rPr>
        <w:t>The total cost to Dutch businesses resulting from the proposed Data Protection Regulation is set out in Table 1. The total cost resulting from the current Dutch Data Protection Act (Wet bescherming persoonsgegevens, "DDPA") is set out in Table 2. It was impossible to quantify the costs associated with several obligations, so it is therefore possible that the actual costs may be higher.</w:t>
      </w:r>
    </w:p>
    <w:p w:rsidR="00DE1A7B" w:rsidRPr="00044E23" w:rsidRDefault="00DE1A7B" w:rsidP="00DE1A7B">
      <w:pPr>
        <w:rPr>
          <w:lang w:val="en-GB"/>
        </w:rPr>
      </w:pPr>
    </w:p>
    <w:p w:rsidR="00DE1A7B" w:rsidRPr="00044E23" w:rsidRDefault="00DE1A7B" w:rsidP="00DE1A7B">
      <w:pPr>
        <w:pStyle w:val="Beschriftung"/>
        <w:rPr>
          <w:lang w:val="en-GB"/>
        </w:rPr>
      </w:pPr>
      <w:r w:rsidRPr="00044E23">
        <w:rPr>
          <w:b/>
          <w:lang w:val="en-GB"/>
        </w:rPr>
        <w:t xml:space="preserve">Table </w:t>
      </w:r>
      <w:r w:rsidR="00772565" w:rsidRPr="00044E23">
        <w:rPr>
          <w:b/>
          <w:lang w:val="en-GB"/>
        </w:rPr>
        <w:fldChar w:fldCharType="begin"/>
      </w:r>
      <w:r w:rsidRPr="00044E23">
        <w:rPr>
          <w:b/>
          <w:lang w:val="en-GB"/>
        </w:rPr>
        <w:instrText xml:space="preserve"> SEQ Tabel \* ARABIC </w:instrText>
      </w:r>
      <w:r w:rsidR="00772565" w:rsidRPr="00044E23">
        <w:rPr>
          <w:b/>
          <w:lang w:val="en-GB"/>
        </w:rPr>
        <w:fldChar w:fldCharType="separate"/>
      </w:r>
      <w:r w:rsidRPr="00044E23">
        <w:rPr>
          <w:b/>
          <w:lang w:val="en-GB"/>
        </w:rPr>
        <w:t>1</w:t>
      </w:r>
      <w:r w:rsidR="00772565" w:rsidRPr="00044E23">
        <w:rPr>
          <w:b/>
          <w:lang w:val="en-GB"/>
        </w:rPr>
        <w:fldChar w:fldCharType="end"/>
      </w:r>
      <w:r w:rsidRPr="00044E23">
        <w:rPr>
          <w:b/>
          <w:lang w:val="en-GB"/>
        </w:rPr>
        <w:t xml:space="preserve">. </w:t>
      </w:r>
      <w:r w:rsidRPr="00044E23">
        <w:rPr>
          <w:lang w:val="en-GB"/>
        </w:rPr>
        <w:t>Total costs burden resulting from the European Data Protection Regulation.</w:t>
      </w:r>
    </w:p>
    <w:tbl>
      <w:tblPr>
        <w:tblStyle w:val="SIRAStandaardtabel"/>
        <w:tblW w:w="0" w:type="auto"/>
        <w:tblLook w:val="04A0" w:firstRow="1" w:lastRow="0" w:firstColumn="1" w:lastColumn="0" w:noHBand="0" w:noVBand="1"/>
      </w:tblPr>
      <w:tblGrid>
        <w:gridCol w:w="4933"/>
        <w:gridCol w:w="284"/>
        <w:gridCol w:w="1417"/>
        <w:gridCol w:w="280"/>
        <w:gridCol w:w="1476"/>
      </w:tblGrid>
      <w:tr w:rsidR="00DE1A7B" w:rsidRPr="00044E23" w:rsidTr="001409A7">
        <w:trPr>
          <w:cnfStyle w:val="100000000000" w:firstRow="1" w:lastRow="0" w:firstColumn="0" w:lastColumn="0" w:oddVBand="0" w:evenVBand="0" w:oddHBand="0" w:evenHBand="0" w:firstRowFirstColumn="0" w:firstRowLastColumn="0" w:lastRowFirstColumn="0" w:lastRowLastColumn="0"/>
        </w:trPr>
        <w:tc>
          <w:tcPr>
            <w:tcW w:w="4933" w:type="dxa"/>
          </w:tcPr>
          <w:p w:rsidR="00DE1A7B" w:rsidRPr="00044E23" w:rsidRDefault="00DE1A7B" w:rsidP="001409A7">
            <w:pPr>
              <w:rPr>
                <w:b w:val="0"/>
                <w:lang w:val="en-GB"/>
              </w:rPr>
            </w:pPr>
            <w:r w:rsidRPr="00044E23">
              <w:rPr>
                <w:lang w:val="en-GB"/>
              </w:rPr>
              <w:t>Type of cost</w:t>
            </w:r>
          </w:p>
        </w:tc>
        <w:tc>
          <w:tcPr>
            <w:tcW w:w="284" w:type="dxa"/>
          </w:tcPr>
          <w:p w:rsidR="00DE1A7B" w:rsidRPr="00044E23" w:rsidRDefault="00DE1A7B" w:rsidP="001409A7">
            <w:pPr>
              <w:rPr>
                <w:lang w:val="en-GB"/>
              </w:rPr>
            </w:pPr>
          </w:p>
        </w:tc>
        <w:tc>
          <w:tcPr>
            <w:tcW w:w="1417" w:type="dxa"/>
          </w:tcPr>
          <w:p w:rsidR="00DE1A7B" w:rsidRPr="00044E23" w:rsidRDefault="00DE1A7B" w:rsidP="001409A7">
            <w:pPr>
              <w:jc w:val="right"/>
              <w:rPr>
                <w:b w:val="0"/>
                <w:lang w:val="en-GB"/>
              </w:rPr>
            </w:pPr>
            <w:r w:rsidRPr="00044E23">
              <w:rPr>
                <w:lang w:val="en-GB"/>
              </w:rPr>
              <w:t>Low estimate</w:t>
            </w:r>
          </w:p>
        </w:tc>
        <w:tc>
          <w:tcPr>
            <w:tcW w:w="280" w:type="dxa"/>
          </w:tcPr>
          <w:p w:rsidR="00DE1A7B" w:rsidRPr="00044E23" w:rsidRDefault="00DE1A7B" w:rsidP="001409A7">
            <w:pPr>
              <w:jc w:val="right"/>
              <w:rPr>
                <w:lang w:val="en-GB"/>
              </w:rPr>
            </w:pPr>
          </w:p>
        </w:tc>
        <w:tc>
          <w:tcPr>
            <w:tcW w:w="1476" w:type="dxa"/>
          </w:tcPr>
          <w:p w:rsidR="00DE1A7B" w:rsidRPr="00044E23" w:rsidRDefault="00DE1A7B" w:rsidP="001409A7">
            <w:pPr>
              <w:jc w:val="right"/>
              <w:rPr>
                <w:b w:val="0"/>
                <w:lang w:val="en-GB"/>
              </w:rPr>
            </w:pPr>
            <w:r w:rsidRPr="00044E23">
              <w:rPr>
                <w:lang w:val="en-GB"/>
              </w:rPr>
              <w:t>High estimate</w:t>
            </w:r>
          </w:p>
        </w:tc>
      </w:tr>
      <w:tr w:rsidR="00DE1A7B" w:rsidRPr="00044E23" w:rsidTr="001409A7">
        <w:tc>
          <w:tcPr>
            <w:tcW w:w="4933" w:type="dxa"/>
          </w:tcPr>
          <w:p w:rsidR="00DE1A7B" w:rsidRPr="00044E23" w:rsidRDefault="00DE1A7B" w:rsidP="001409A7">
            <w:pPr>
              <w:rPr>
                <w:lang w:val="en-GB"/>
              </w:rPr>
            </w:pPr>
            <w:r w:rsidRPr="00044E23">
              <w:rPr>
                <w:lang w:val="en-GB"/>
              </w:rPr>
              <w:t>Administrative burden (AB)</w:t>
            </w:r>
          </w:p>
        </w:tc>
        <w:tc>
          <w:tcPr>
            <w:tcW w:w="284" w:type="dxa"/>
            <w:tcBorders>
              <w:right w:val="nil"/>
            </w:tcBorders>
          </w:tcPr>
          <w:p w:rsidR="00DE1A7B" w:rsidRPr="00044E23" w:rsidRDefault="00DE1A7B" w:rsidP="001409A7">
            <w:pPr>
              <w:jc w:val="left"/>
              <w:rPr>
                <w:lang w:val="en-GB"/>
              </w:rPr>
            </w:pPr>
            <w:r w:rsidRPr="00044E23">
              <w:rPr>
                <w:lang w:val="en-GB"/>
              </w:rPr>
              <w:t>€</w:t>
            </w:r>
          </w:p>
        </w:tc>
        <w:tc>
          <w:tcPr>
            <w:tcW w:w="1417" w:type="dxa"/>
            <w:tcBorders>
              <w:top w:val="single" w:sz="4" w:space="0" w:color="auto"/>
              <w:left w:val="nil"/>
            </w:tcBorders>
          </w:tcPr>
          <w:p w:rsidR="00DE1A7B" w:rsidRPr="00044E23" w:rsidRDefault="00DE1A7B" w:rsidP="001409A7">
            <w:pPr>
              <w:jc w:val="right"/>
              <w:rPr>
                <w:lang w:val="en-GB"/>
              </w:rPr>
            </w:pPr>
            <w:r w:rsidRPr="00044E23">
              <w:rPr>
                <w:lang w:val="en-GB"/>
              </w:rPr>
              <w:t>1,490,532</w:t>
            </w:r>
          </w:p>
        </w:tc>
        <w:tc>
          <w:tcPr>
            <w:tcW w:w="280" w:type="dxa"/>
            <w:tcBorders>
              <w:top w:val="single" w:sz="4" w:space="0" w:color="auto"/>
              <w:right w:val="nil"/>
            </w:tcBorders>
          </w:tcPr>
          <w:p w:rsidR="00DE1A7B" w:rsidRPr="00044E23" w:rsidRDefault="00DE1A7B" w:rsidP="001409A7">
            <w:pPr>
              <w:jc w:val="left"/>
              <w:rPr>
                <w:lang w:val="en-GB"/>
              </w:rPr>
            </w:pPr>
            <w:r w:rsidRPr="00044E23">
              <w:rPr>
                <w:lang w:val="en-GB"/>
              </w:rPr>
              <w:t>€</w:t>
            </w:r>
          </w:p>
        </w:tc>
        <w:tc>
          <w:tcPr>
            <w:tcW w:w="1476" w:type="dxa"/>
            <w:tcBorders>
              <w:left w:val="nil"/>
            </w:tcBorders>
          </w:tcPr>
          <w:p w:rsidR="00DE1A7B" w:rsidRPr="00044E23" w:rsidRDefault="00DE1A7B" w:rsidP="001409A7">
            <w:pPr>
              <w:jc w:val="right"/>
              <w:rPr>
                <w:lang w:val="en-GB"/>
              </w:rPr>
            </w:pPr>
            <w:r w:rsidRPr="00044E23">
              <w:rPr>
                <w:lang w:val="en-GB"/>
              </w:rPr>
              <w:t>1,490,532</w:t>
            </w:r>
          </w:p>
        </w:tc>
      </w:tr>
      <w:tr w:rsidR="00DE1A7B" w:rsidRPr="00044E23" w:rsidTr="001409A7">
        <w:tc>
          <w:tcPr>
            <w:tcW w:w="4933" w:type="dxa"/>
            <w:tcBorders>
              <w:bottom w:val="single" w:sz="4" w:space="0" w:color="auto"/>
            </w:tcBorders>
          </w:tcPr>
          <w:p w:rsidR="00DE1A7B" w:rsidRPr="00044E23" w:rsidRDefault="00DE1A7B" w:rsidP="001409A7">
            <w:pPr>
              <w:rPr>
                <w:lang w:val="en-GB"/>
              </w:rPr>
            </w:pPr>
            <w:r w:rsidRPr="00044E23">
              <w:rPr>
                <w:lang w:val="en-GB"/>
              </w:rPr>
              <w:t>Compliance costs (CC)</w:t>
            </w:r>
          </w:p>
        </w:tc>
        <w:tc>
          <w:tcPr>
            <w:tcW w:w="284" w:type="dxa"/>
            <w:tcBorders>
              <w:bottom w:val="single" w:sz="4" w:space="0" w:color="auto"/>
              <w:right w:val="nil"/>
            </w:tcBorders>
          </w:tcPr>
          <w:p w:rsidR="00DE1A7B" w:rsidRPr="00044E23" w:rsidRDefault="00DE1A7B" w:rsidP="001409A7">
            <w:pPr>
              <w:jc w:val="left"/>
              <w:rPr>
                <w:lang w:val="en-GB"/>
              </w:rPr>
            </w:pPr>
            <w:r w:rsidRPr="00044E23">
              <w:rPr>
                <w:lang w:val="en-GB"/>
              </w:rPr>
              <w:t>€</w:t>
            </w:r>
          </w:p>
        </w:tc>
        <w:tc>
          <w:tcPr>
            <w:tcW w:w="1417" w:type="dxa"/>
            <w:tcBorders>
              <w:left w:val="nil"/>
              <w:bottom w:val="single" w:sz="4" w:space="0" w:color="auto"/>
            </w:tcBorders>
          </w:tcPr>
          <w:p w:rsidR="00DE1A7B" w:rsidRPr="00044E23" w:rsidRDefault="00DE1A7B" w:rsidP="001409A7">
            <w:pPr>
              <w:jc w:val="right"/>
              <w:rPr>
                <w:lang w:val="en-GB"/>
              </w:rPr>
            </w:pPr>
            <w:r w:rsidRPr="00044E23">
              <w:rPr>
                <w:lang w:val="en-GB"/>
              </w:rPr>
              <w:t>1,123,998,948</w:t>
            </w:r>
          </w:p>
        </w:tc>
        <w:tc>
          <w:tcPr>
            <w:tcW w:w="280" w:type="dxa"/>
            <w:tcBorders>
              <w:bottom w:val="single" w:sz="4" w:space="0" w:color="auto"/>
              <w:right w:val="nil"/>
            </w:tcBorders>
          </w:tcPr>
          <w:p w:rsidR="00DE1A7B" w:rsidRPr="00044E23" w:rsidRDefault="00DE1A7B" w:rsidP="001409A7">
            <w:pPr>
              <w:jc w:val="left"/>
              <w:rPr>
                <w:lang w:val="en-GB"/>
              </w:rPr>
            </w:pPr>
            <w:r w:rsidRPr="00044E23">
              <w:rPr>
                <w:lang w:val="en-GB"/>
              </w:rPr>
              <w:t>€</w:t>
            </w:r>
          </w:p>
        </w:tc>
        <w:tc>
          <w:tcPr>
            <w:tcW w:w="1476" w:type="dxa"/>
            <w:tcBorders>
              <w:left w:val="nil"/>
              <w:bottom w:val="single" w:sz="4" w:space="0" w:color="auto"/>
            </w:tcBorders>
          </w:tcPr>
          <w:p w:rsidR="00DE1A7B" w:rsidRPr="00044E23" w:rsidRDefault="00DE1A7B" w:rsidP="001409A7">
            <w:pPr>
              <w:jc w:val="right"/>
              <w:rPr>
                <w:lang w:val="en-GB"/>
              </w:rPr>
            </w:pPr>
            <w:r w:rsidRPr="00044E23">
              <w:rPr>
                <w:lang w:val="en-GB"/>
              </w:rPr>
              <w:t>1,467,573,948</w:t>
            </w:r>
          </w:p>
        </w:tc>
      </w:tr>
      <w:tr w:rsidR="00DE1A7B" w:rsidRPr="00044E23" w:rsidTr="001409A7">
        <w:tc>
          <w:tcPr>
            <w:tcW w:w="4933" w:type="dxa"/>
            <w:tcBorders>
              <w:top w:val="single" w:sz="4" w:space="0" w:color="auto"/>
              <w:bottom w:val="single" w:sz="4" w:space="0" w:color="000000" w:themeColor="text1"/>
            </w:tcBorders>
          </w:tcPr>
          <w:p w:rsidR="00DE1A7B" w:rsidRPr="00044E23" w:rsidRDefault="00DE1A7B" w:rsidP="001409A7">
            <w:pPr>
              <w:jc w:val="left"/>
              <w:rPr>
                <w:b/>
                <w:lang w:val="en-GB"/>
              </w:rPr>
            </w:pPr>
            <w:r w:rsidRPr="00044E23">
              <w:rPr>
                <w:b/>
                <w:lang w:val="en-GB"/>
              </w:rPr>
              <w:t>Total</w:t>
            </w:r>
          </w:p>
        </w:tc>
        <w:tc>
          <w:tcPr>
            <w:tcW w:w="284" w:type="dxa"/>
            <w:tcBorders>
              <w:top w:val="single" w:sz="4" w:space="0" w:color="auto"/>
              <w:bottom w:val="single" w:sz="4" w:space="0" w:color="000000" w:themeColor="text1"/>
              <w:right w:val="nil"/>
            </w:tcBorders>
          </w:tcPr>
          <w:p w:rsidR="00DE1A7B" w:rsidRPr="00044E23" w:rsidRDefault="00DE1A7B" w:rsidP="001409A7">
            <w:pPr>
              <w:jc w:val="left"/>
              <w:rPr>
                <w:b/>
                <w:lang w:val="en-GB"/>
              </w:rPr>
            </w:pPr>
            <w:r w:rsidRPr="00044E23">
              <w:rPr>
                <w:b/>
                <w:lang w:val="en-GB"/>
              </w:rPr>
              <w:t>€</w:t>
            </w:r>
          </w:p>
        </w:tc>
        <w:tc>
          <w:tcPr>
            <w:tcW w:w="1417" w:type="dxa"/>
            <w:tcBorders>
              <w:top w:val="single" w:sz="4" w:space="0" w:color="auto"/>
              <w:left w:val="nil"/>
              <w:bottom w:val="single" w:sz="4" w:space="0" w:color="000000" w:themeColor="text1"/>
            </w:tcBorders>
          </w:tcPr>
          <w:p w:rsidR="00DE1A7B" w:rsidRPr="00044E23" w:rsidRDefault="00DE1A7B" w:rsidP="001409A7">
            <w:pPr>
              <w:jc w:val="right"/>
              <w:rPr>
                <w:b/>
                <w:lang w:val="en-GB"/>
              </w:rPr>
            </w:pPr>
            <w:r w:rsidRPr="00044E23">
              <w:rPr>
                <w:b/>
                <w:lang w:val="en-GB"/>
              </w:rPr>
              <w:t>1,125,489,480</w:t>
            </w:r>
          </w:p>
        </w:tc>
        <w:tc>
          <w:tcPr>
            <w:tcW w:w="280" w:type="dxa"/>
            <w:tcBorders>
              <w:top w:val="single" w:sz="4" w:space="0" w:color="auto"/>
              <w:bottom w:val="single" w:sz="4" w:space="0" w:color="000000" w:themeColor="text1"/>
              <w:right w:val="nil"/>
            </w:tcBorders>
          </w:tcPr>
          <w:p w:rsidR="00DE1A7B" w:rsidRPr="00044E23" w:rsidRDefault="00DE1A7B" w:rsidP="001409A7">
            <w:pPr>
              <w:jc w:val="left"/>
              <w:rPr>
                <w:b/>
                <w:lang w:val="en-GB"/>
              </w:rPr>
            </w:pPr>
            <w:r w:rsidRPr="00044E23">
              <w:rPr>
                <w:b/>
                <w:lang w:val="en-GB"/>
              </w:rPr>
              <w:t>€</w:t>
            </w:r>
          </w:p>
        </w:tc>
        <w:tc>
          <w:tcPr>
            <w:tcW w:w="1476" w:type="dxa"/>
            <w:tcBorders>
              <w:top w:val="single" w:sz="4" w:space="0" w:color="auto"/>
              <w:left w:val="nil"/>
              <w:bottom w:val="single" w:sz="4" w:space="0" w:color="000000" w:themeColor="text1"/>
            </w:tcBorders>
          </w:tcPr>
          <w:p w:rsidR="00DE1A7B" w:rsidRPr="00044E23" w:rsidRDefault="00DE1A7B" w:rsidP="001409A7">
            <w:pPr>
              <w:jc w:val="right"/>
              <w:rPr>
                <w:b/>
                <w:lang w:val="en-GB"/>
              </w:rPr>
            </w:pPr>
            <w:r w:rsidRPr="00044E23">
              <w:rPr>
                <w:b/>
                <w:lang w:val="en-GB"/>
              </w:rPr>
              <w:t>1,469,064,480</w:t>
            </w:r>
          </w:p>
        </w:tc>
      </w:tr>
    </w:tbl>
    <w:p w:rsidR="00FB48C3" w:rsidRPr="00044E23" w:rsidRDefault="00FB48C3" w:rsidP="00FB48C3">
      <w:pPr>
        <w:rPr>
          <w:lang w:val="en-GB"/>
        </w:rPr>
      </w:pPr>
    </w:p>
    <w:p w:rsidR="00FB48C3" w:rsidRPr="00044E23" w:rsidRDefault="00FB48C3" w:rsidP="00FB48C3">
      <w:pPr>
        <w:rPr>
          <w:lang w:val="en-GB"/>
        </w:rPr>
      </w:pPr>
      <w:r w:rsidRPr="00044E23">
        <w:rPr>
          <w:lang w:val="en-GB"/>
        </w:rPr>
        <w:t>The bandwidth used is due to the inherent uncertainty surrounding the documentation obligation in Article 28 of the proposed Data Protection Regulation. There are currently still some unanswered questions about practical implementation of this Article, which introduces the obligation on businesses to maintain records of processing operations on personal data under their responsibility, instead of a general notification to the supervisory authority required by Articles 18 and 19 of Directive 95/46/EC.</w:t>
      </w:r>
    </w:p>
    <w:p w:rsidR="00FB48C3" w:rsidRPr="00044E23" w:rsidRDefault="00FB48C3" w:rsidP="00DE1A7B">
      <w:pPr>
        <w:rPr>
          <w:lang w:val="en-GB"/>
        </w:rPr>
      </w:pPr>
    </w:p>
    <w:p w:rsidR="00DE1A7B" w:rsidRPr="00044E23" w:rsidRDefault="00DE1A7B" w:rsidP="00DE1A7B">
      <w:pPr>
        <w:pStyle w:val="Beschriftung"/>
        <w:rPr>
          <w:lang w:val="en-GB"/>
        </w:rPr>
      </w:pPr>
      <w:r w:rsidRPr="00044E23">
        <w:rPr>
          <w:b/>
          <w:lang w:val="en-GB"/>
        </w:rPr>
        <w:t xml:space="preserve">Table </w:t>
      </w:r>
      <w:r w:rsidR="00772565" w:rsidRPr="00044E23">
        <w:rPr>
          <w:b/>
          <w:lang w:val="en-GB"/>
        </w:rPr>
        <w:fldChar w:fldCharType="begin"/>
      </w:r>
      <w:r w:rsidRPr="00044E23">
        <w:rPr>
          <w:b/>
          <w:lang w:val="en-GB"/>
        </w:rPr>
        <w:instrText xml:space="preserve"> SEQ Tabel \* ARABIC </w:instrText>
      </w:r>
      <w:r w:rsidR="00772565" w:rsidRPr="00044E23">
        <w:rPr>
          <w:b/>
          <w:lang w:val="en-GB"/>
        </w:rPr>
        <w:fldChar w:fldCharType="separate"/>
      </w:r>
      <w:r w:rsidRPr="00044E23">
        <w:rPr>
          <w:b/>
          <w:lang w:val="en-GB"/>
        </w:rPr>
        <w:t>2</w:t>
      </w:r>
      <w:r w:rsidR="00772565" w:rsidRPr="00044E23">
        <w:rPr>
          <w:b/>
          <w:lang w:val="en-GB"/>
        </w:rPr>
        <w:fldChar w:fldCharType="end"/>
      </w:r>
      <w:r w:rsidRPr="00044E23">
        <w:rPr>
          <w:b/>
          <w:lang w:val="en-GB"/>
        </w:rPr>
        <w:t xml:space="preserve">. </w:t>
      </w:r>
      <w:r w:rsidRPr="00044E23">
        <w:rPr>
          <w:lang w:val="en-GB"/>
        </w:rPr>
        <w:t>Total costs resulting from the Dutch Data Protection Act</w:t>
      </w:r>
    </w:p>
    <w:tbl>
      <w:tblPr>
        <w:tblStyle w:val="SIRAStandaardtabel"/>
        <w:tblW w:w="0" w:type="auto"/>
        <w:tblLook w:val="04A0" w:firstRow="1" w:lastRow="0" w:firstColumn="1" w:lastColumn="0" w:noHBand="0" w:noVBand="1"/>
      </w:tblPr>
      <w:tblGrid>
        <w:gridCol w:w="6634"/>
        <w:gridCol w:w="247"/>
        <w:gridCol w:w="1509"/>
      </w:tblGrid>
      <w:tr w:rsidR="00DE1A7B" w:rsidRPr="00044E23" w:rsidTr="001409A7">
        <w:trPr>
          <w:cnfStyle w:val="100000000000" w:firstRow="1" w:lastRow="0" w:firstColumn="0" w:lastColumn="0" w:oddVBand="0" w:evenVBand="0" w:oddHBand="0" w:evenHBand="0" w:firstRowFirstColumn="0" w:firstRowLastColumn="0" w:lastRowFirstColumn="0" w:lastRowLastColumn="0"/>
        </w:trPr>
        <w:tc>
          <w:tcPr>
            <w:tcW w:w="6634" w:type="dxa"/>
          </w:tcPr>
          <w:p w:rsidR="00DE1A7B" w:rsidRPr="00044E23" w:rsidRDefault="00161917" w:rsidP="001409A7">
            <w:pPr>
              <w:rPr>
                <w:b w:val="0"/>
                <w:lang w:val="en-GB"/>
              </w:rPr>
            </w:pPr>
            <w:r w:rsidRPr="00044E23">
              <w:rPr>
                <w:lang w:val="en-GB"/>
              </w:rPr>
              <w:t>Type of cost</w:t>
            </w:r>
          </w:p>
        </w:tc>
        <w:tc>
          <w:tcPr>
            <w:tcW w:w="247" w:type="dxa"/>
          </w:tcPr>
          <w:p w:rsidR="00DE1A7B" w:rsidRPr="00044E23" w:rsidRDefault="00DE1A7B" w:rsidP="001409A7">
            <w:pPr>
              <w:rPr>
                <w:lang w:val="en-GB"/>
              </w:rPr>
            </w:pPr>
          </w:p>
        </w:tc>
        <w:tc>
          <w:tcPr>
            <w:tcW w:w="1509" w:type="dxa"/>
          </w:tcPr>
          <w:p w:rsidR="00DE1A7B" w:rsidRPr="00044E23" w:rsidRDefault="00DE1A7B" w:rsidP="001409A7">
            <w:pPr>
              <w:jc w:val="right"/>
              <w:rPr>
                <w:b w:val="0"/>
                <w:lang w:val="en-GB"/>
              </w:rPr>
            </w:pPr>
            <w:r w:rsidRPr="00044E23">
              <w:rPr>
                <w:lang w:val="en-GB"/>
              </w:rPr>
              <w:t>Costs</w:t>
            </w:r>
          </w:p>
        </w:tc>
      </w:tr>
      <w:tr w:rsidR="00DE1A7B" w:rsidRPr="00044E23" w:rsidTr="001409A7">
        <w:tc>
          <w:tcPr>
            <w:tcW w:w="6634" w:type="dxa"/>
          </w:tcPr>
          <w:p w:rsidR="00DE1A7B" w:rsidRPr="00044E23" w:rsidRDefault="00DE1A7B" w:rsidP="001409A7">
            <w:pPr>
              <w:jc w:val="left"/>
              <w:rPr>
                <w:lang w:val="en-GB"/>
              </w:rPr>
            </w:pPr>
            <w:r w:rsidRPr="00044E23">
              <w:rPr>
                <w:lang w:val="en-GB"/>
              </w:rPr>
              <w:t>Administrative burden (AB)</w:t>
            </w:r>
          </w:p>
        </w:tc>
        <w:tc>
          <w:tcPr>
            <w:tcW w:w="247" w:type="dxa"/>
            <w:tcBorders>
              <w:right w:val="nil"/>
            </w:tcBorders>
          </w:tcPr>
          <w:p w:rsidR="00DE1A7B" w:rsidRPr="00044E23" w:rsidRDefault="00DE1A7B" w:rsidP="001409A7">
            <w:pPr>
              <w:jc w:val="left"/>
              <w:rPr>
                <w:lang w:val="en-GB"/>
              </w:rPr>
            </w:pPr>
            <w:r w:rsidRPr="00044E23">
              <w:rPr>
                <w:lang w:val="en-GB"/>
              </w:rPr>
              <w:t>€</w:t>
            </w:r>
          </w:p>
        </w:tc>
        <w:tc>
          <w:tcPr>
            <w:tcW w:w="1509" w:type="dxa"/>
            <w:tcBorders>
              <w:top w:val="single" w:sz="4" w:space="0" w:color="auto"/>
              <w:left w:val="nil"/>
            </w:tcBorders>
          </w:tcPr>
          <w:p w:rsidR="00DE1A7B" w:rsidRPr="00044E23" w:rsidRDefault="00DE1A7B" w:rsidP="001409A7">
            <w:pPr>
              <w:jc w:val="right"/>
              <w:rPr>
                <w:lang w:val="en-GB"/>
              </w:rPr>
            </w:pPr>
            <w:r w:rsidRPr="00044E23">
              <w:rPr>
                <w:lang w:val="en-GB"/>
              </w:rPr>
              <w:t>1,726,363</w:t>
            </w:r>
          </w:p>
        </w:tc>
      </w:tr>
      <w:tr w:rsidR="00DE1A7B" w:rsidRPr="00044E23" w:rsidTr="001409A7">
        <w:tc>
          <w:tcPr>
            <w:tcW w:w="6634" w:type="dxa"/>
            <w:tcBorders>
              <w:bottom w:val="single" w:sz="4" w:space="0" w:color="auto"/>
            </w:tcBorders>
          </w:tcPr>
          <w:p w:rsidR="00DE1A7B" w:rsidRPr="00044E23" w:rsidRDefault="00DE1A7B" w:rsidP="001409A7">
            <w:pPr>
              <w:rPr>
                <w:lang w:val="en-GB"/>
              </w:rPr>
            </w:pPr>
            <w:r w:rsidRPr="00044E23">
              <w:rPr>
                <w:lang w:val="en-GB"/>
              </w:rPr>
              <w:t>Compliance costs (CC)</w:t>
            </w:r>
          </w:p>
        </w:tc>
        <w:tc>
          <w:tcPr>
            <w:tcW w:w="247" w:type="dxa"/>
            <w:tcBorders>
              <w:bottom w:val="single" w:sz="4" w:space="0" w:color="auto"/>
              <w:right w:val="nil"/>
            </w:tcBorders>
          </w:tcPr>
          <w:p w:rsidR="00DE1A7B" w:rsidRPr="00044E23" w:rsidRDefault="00DE1A7B" w:rsidP="001409A7">
            <w:pPr>
              <w:jc w:val="left"/>
              <w:rPr>
                <w:lang w:val="en-GB"/>
              </w:rPr>
            </w:pPr>
            <w:r w:rsidRPr="00044E23">
              <w:rPr>
                <w:lang w:val="en-GB"/>
              </w:rPr>
              <w:t>€</w:t>
            </w:r>
          </w:p>
        </w:tc>
        <w:tc>
          <w:tcPr>
            <w:tcW w:w="1509" w:type="dxa"/>
            <w:tcBorders>
              <w:left w:val="nil"/>
              <w:bottom w:val="single" w:sz="4" w:space="0" w:color="auto"/>
            </w:tcBorders>
          </w:tcPr>
          <w:p w:rsidR="00DE1A7B" w:rsidRPr="00044E23" w:rsidRDefault="00DE1A7B" w:rsidP="001409A7">
            <w:pPr>
              <w:jc w:val="right"/>
              <w:rPr>
                <w:lang w:val="en-GB"/>
              </w:rPr>
            </w:pPr>
            <w:r w:rsidRPr="00044E23">
              <w:rPr>
                <w:lang w:val="en-GB"/>
              </w:rPr>
              <w:t>70,804,716</w:t>
            </w:r>
          </w:p>
        </w:tc>
      </w:tr>
      <w:tr w:rsidR="00DE1A7B" w:rsidRPr="00044E23" w:rsidTr="001409A7">
        <w:tc>
          <w:tcPr>
            <w:tcW w:w="6634" w:type="dxa"/>
            <w:tcBorders>
              <w:top w:val="single" w:sz="4" w:space="0" w:color="auto"/>
              <w:bottom w:val="single" w:sz="4" w:space="0" w:color="000000" w:themeColor="text1"/>
            </w:tcBorders>
          </w:tcPr>
          <w:p w:rsidR="00DE1A7B" w:rsidRPr="00044E23" w:rsidRDefault="00DE1A7B" w:rsidP="001409A7">
            <w:pPr>
              <w:jc w:val="left"/>
              <w:rPr>
                <w:b/>
                <w:lang w:val="en-GB"/>
              </w:rPr>
            </w:pPr>
            <w:r w:rsidRPr="00044E23">
              <w:rPr>
                <w:b/>
                <w:lang w:val="en-GB"/>
              </w:rPr>
              <w:t>Total</w:t>
            </w:r>
          </w:p>
        </w:tc>
        <w:tc>
          <w:tcPr>
            <w:tcW w:w="247" w:type="dxa"/>
            <w:tcBorders>
              <w:top w:val="single" w:sz="4" w:space="0" w:color="auto"/>
              <w:bottom w:val="single" w:sz="4" w:space="0" w:color="000000" w:themeColor="text1"/>
              <w:right w:val="nil"/>
            </w:tcBorders>
          </w:tcPr>
          <w:p w:rsidR="00DE1A7B" w:rsidRPr="00044E23" w:rsidRDefault="00DE1A7B" w:rsidP="001409A7">
            <w:pPr>
              <w:jc w:val="left"/>
              <w:rPr>
                <w:b/>
                <w:lang w:val="en-GB"/>
              </w:rPr>
            </w:pPr>
            <w:r w:rsidRPr="00044E23">
              <w:rPr>
                <w:b/>
                <w:lang w:val="en-GB"/>
              </w:rPr>
              <w:t>€</w:t>
            </w:r>
          </w:p>
        </w:tc>
        <w:tc>
          <w:tcPr>
            <w:tcW w:w="1509" w:type="dxa"/>
            <w:tcBorders>
              <w:top w:val="single" w:sz="4" w:space="0" w:color="auto"/>
              <w:left w:val="nil"/>
              <w:bottom w:val="single" w:sz="4" w:space="0" w:color="000000" w:themeColor="text1"/>
            </w:tcBorders>
          </w:tcPr>
          <w:p w:rsidR="00DE1A7B" w:rsidRPr="00044E23" w:rsidRDefault="00DE1A7B" w:rsidP="001409A7">
            <w:pPr>
              <w:jc w:val="right"/>
              <w:rPr>
                <w:b/>
                <w:lang w:val="en-GB"/>
              </w:rPr>
            </w:pPr>
            <w:r w:rsidRPr="00044E23">
              <w:rPr>
                <w:b/>
                <w:lang w:val="en-GB"/>
              </w:rPr>
              <w:t>72,531,079</w:t>
            </w:r>
          </w:p>
        </w:tc>
      </w:tr>
    </w:tbl>
    <w:p w:rsidR="00DE1A7B" w:rsidRPr="00044E23" w:rsidRDefault="00DE1A7B" w:rsidP="00DE1A7B">
      <w:pPr>
        <w:rPr>
          <w:lang w:val="en-GB"/>
        </w:rPr>
      </w:pPr>
    </w:p>
    <w:p w:rsidR="00D746DF" w:rsidRPr="00044E23" w:rsidRDefault="00D746DF">
      <w:pPr>
        <w:ind w:left="-851"/>
        <w:jc w:val="left"/>
        <w:rPr>
          <w:rFonts w:eastAsiaTheme="majorEastAsia" w:cstheme="majorBidi"/>
          <w:b/>
          <w:bCs/>
          <w:iCs/>
          <w:color w:val="000080"/>
          <w:lang w:val="en-GB"/>
        </w:rPr>
      </w:pPr>
      <w:r w:rsidRPr="00044E23">
        <w:rPr>
          <w:lang w:val="en-GB"/>
        </w:rPr>
        <w:br w:type="page"/>
      </w:r>
    </w:p>
    <w:p w:rsidR="003A59C5" w:rsidRPr="00044E23" w:rsidRDefault="003A59C5" w:rsidP="003A59C5">
      <w:pPr>
        <w:pStyle w:val="berschrift4"/>
        <w:rPr>
          <w:lang w:val="en-GB"/>
        </w:rPr>
      </w:pPr>
      <w:r w:rsidRPr="00044E23">
        <w:rPr>
          <w:lang w:val="en-GB"/>
        </w:rPr>
        <w:t>Conclusions</w:t>
      </w:r>
    </w:p>
    <w:p w:rsidR="00F53FA7" w:rsidRPr="00044E23" w:rsidRDefault="002C1A8C" w:rsidP="00F53FA7">
      <w:pPr>
        <w:pStyle w:val="Listenabsatz"/>
        <w:numPr>
          <w:ilvl w:val="0"/>
          <w:numId w:val="31"/>
        </w:numPr>
        <w:ind w:left="357" w:hanging="357"/>
        <w:rPr>
          <w:lang w:val="en-GB"/>
        </w:rPr>
      </w:pPr>
      <w:r w:rsidRPr="00044E23">
        <w:rPr>
          <w:lang w:val="en-GB"/>
        </w:rPr>
        <w:t>It is clear that the administrative burden resulting from the current law and the proposed Regulation only constitute only a small part of the overall regulatory burden; the compliance costs are significantly higher.</w:t>
      </w:r>
    </w:p>
    <w:p w:rsidR="002C1A8C" w:rsidRPr="00044E23" w:rsidRDefault="002C1A8C" w:rsidP="00F53FA7">
      <w:pPr>
        <w:pStyle w:val="Listenabsatz"/>
        <w:numPr>
          <w:ilvl w:val="0"/>
          <w:numId w:val="31"/>
        </w:numPr>
        <w:ind w:left="357" w:hanging="357"/>
        <w:rPr>
          <w:lang w:val="en-GB"/>
        </w:rPr>
      </w:pPr>
      <w:r w:rsidRPr="00044E23">
        <w:rPr>
          <w:lang w:val="en-GB"/>
        </w:rPr>
        <w:t xml:space="preserve">The administrative burden will reduce slightly when the Data Protection Regulation comes </w:t>
      </w:r>
      <w:r w:rsidR="00044E23" w:rsidRPr="00044E23">
        <w:rPr>
          <w:lang w:val="en-GB"/>
        </w:rPr>
        <w:t>into</w:t>
      </w:r>
      <w:r w:rsidRPr="00044E23">
        <w:rPr>
          <w:lang w:val="en-GB"/>
        </w:rPr>
        <w:t xml:space="preserve"> force, but the compliance costs will increase significantly.</w:t>
      </w:r>
    </w:p>
    <w:p w:rsidR="00DE1A7B" w:rsidRPr="00044E23" w:rsidRDefault="00DE1A7B" w:rsidP="00F53FA7">
      <w:pPr>
        <w:pStyle w:val="Listenabsatz"/>
        <w:numPr>
          <w:ilvl w:val="0"/>
          <w:numId w:val="31"/>
        </w:numPr>
        <w:ind w:left="357" w:hanging="357"/>
        <w:rPr>
          <w:lang w:val="en-GB"/>
        </w:rPr>
      </w:pPr>
      <w:r w:rsidRPr="00044E23">
        <w:rPr>
          <w:lang w:val="en-GB"/>
        </w:rPr>
        <w:t>The total quantifiable impact of the proposed European Data Protection Regulation on the burden felt by Dutch businesses will therefore increase to between €1,052,958,401 (low estimate) and €1,396,533,401 (high estimate).</w:t>
      </w:r>
    </w:p>
    <w:p w:rsidR="002C1A8C" w:rsidRPr="00044E23" w:rsidRDefault="003A59C5" w:rsidP="003A59C5">
      <w:pPr>
        <w:pStyle w:val="berschrift4"/>
        <w:rPr>
          <w:lang w:val="en-GB"/>
        </w:rPr>
      </w:pPr>
      <w:r w:rsidRPr="00044E23">
        <w:rPr>
          <w:lang w:val="en-GB"/>
        </w:rPr>
        <w:t>Evaluation</w:t>
      </w:r>
    </w:p>
    <w:p w:rsidR="00DD4091" w:rsidRPr="00044E23" w:rsidRDefault="00A8784C" w:rsidP="00DD4091">
      <w:pPr>
        <w:rPr>
          <w:lang w:val="en-GB"/>
        </w:rPr>
      </w:pPr>
      <w:r w:rsidRPr="00044E23">
        <w:rPr>
          <w:lang w:val="en-GB"/>
        </w:rPr>
        <w:t>This study is solely focused on quantifying the impact of the proposed Data Protection Regulation on the administrative burden and compliance costs for Dutch businesses. Other financial effects have not been taken into account in the study.</w:t>
      </w:r>
    </w:p>
    <w:p w:rsidR="00DE1A7B" w:rsidRPr="00044E23" w:rsidRDefault="00AB6FD6" w:rsidP="00DD4091">
      <w:pPr>
        <w:rPr>
          <w:lang w:val="en-GB"/>
        </w:rPr>
      </w:pPr>
      <w:r w:rsidRPr="00044E23">
        <w:rPr>
          <w:lang w:val="en-GB"/>
        </w:rPr>
        <w:t>As described above in relation to Article 28, the proposed Data Protection Regulation leaves some scope for how certain obligations are to be interpreted. It is therefore difficult to estimate in advance which businesses will have to comply and how they will have to comply. Consequently, the resulting cost to businesses cannot be precisely determined, and the study therefore often makes assumptions and suppositions. All assumptions and suppositions used in this report are accounted for and are also set out in the appended Standard Cost Model (SCM)</w:t>
      </w:r>
      <w:r w:rsidR="00F703DD" w:rsidRPr="00044E23">
        <w:rPr>
          <w:rStyle w:val="Funotenzeichen"/>
          <w:lang w:val="en-GB"/>
        </w:rPr>
        <w:footnoteReference w:id="3"/>
      </w:r>
      <w:r w:rsidRPr="00044E23">
        <w:rPr>
          <w:lang w:val="en-GB"/>
        </w:rPr>
        <w:t>.</w:t>
      </w:r>
    </w:p>
    <w:p w:rsidR="00DE1A7B" w:rsidRPr="00044E23" w:rsidRDefault="00DE1A7B" w:rsidP="00DE1A7B">
      <w:pPr>
        <w:rPr>
          <w:lang w:val="en-GB"/>
        </w:rPr>
      </w:pPr>
    </w:p>
    <w:p w:rsidR="00E52CEE" w:rsidRPr="00044E23" w:rsidRDefault="00E52CEE" w:rsidP="00E52CEE">
      <w:pPr>
        <w:rPr>
          <w:lang w:val="en-GB"/>
        </w:rPr>
      </w:pPr>
    </w:p>
    <w:p w:rsidR="00E52CEE" w:rsidRPr="00044E23" w:rsidRDefault="00E52CEE" w:rsidP="00E52CEE">
      <w:pPr>
        <w:rPr>
          <w:lang w:val="en-GB"/>
        </w:rPr>
        <w:sectPr w:rsidR="00E52CEE" w:rsidRPr="00044E23" w:rsidSect="00561537">
          <w:headerReference w:type="even" r:id="rId13"/>
          <w:headerReference w:type="default" r:id="rId14"/>
          <w:footerReference w:type="default" r:id="rId15"/>
          <w:headerReference w:type="first" r:id="rId16"/>
          <w:type w:val="oddPage"/>
          <w:pgSz w:w="11906" w:h="16838" w:code="9"/>
          <w:pgMar w:top="2835" w:right="1588" w:bottom="851" w:left="1985" w:header="851" w:footer="567" w:gutter="0"/>
          <w:cols w:space="708"/>
          <w:docGrid w:linePitch="360"/>
        </w:sectPr>
      </w:pPr>
    </w:p>
    <w:p w:rsidR="00173E9B" w:rsidRPr="00044E23" w:rsidRDefault="0000797A" w:rsidP="00D47ACB">
      <w:pPr>
        <w:pStyle w:val="berschrift1"/>
        <w:rPr>
          <w:lang w:val="en-GB"/>
        </w:rPr>
      </w:pPr>
      <w:bookmarkStart w:id="2" w:name="_Toc360101905"/>
      <w:r w:rsidRPr="00044E23">
        <w:rPr>
          <w:lang w:val="en-GB"/>
        </w:rPr>
        <w:t>Introduction</w:t>
      </w:r>
      <w:bookmarkEnd w:id="2"/>
    </w:p>
    <w:p w:rsidR="003162EC" w:rsidRPr="00044E23" w:rsidRDefault="003162EC" w:rsidP="003162EC">
      <w:pPr>
        <w:spacing w:before="120"/>
        <w:rPr>
          <w:lang w:val="en-GB"/>
        </w:rPr>
      </w:pPr>
      <w:r w:rsidRPr="00044E23">
        <w:rPr>
          <w:lang w:val="en-GB"/>
        </w:rPr>
        <w:t>With the emergence of social media and the rise of the digital age, people have come to accept the sharing of their personal data on the internet as part of modern life. However, the EU's Eurobarometer of June 2011 shows that around 80% of European citizens who are active internet users feel as though they have lost control of their own personal data.</w:t>
      </w:r>
    </w:p>
    <w:p w:rsidR="003162EC" w:rsidRPr="00044E23" w:rsidRDefault="003162EC" w:rsidP="003162EC">
      <w:pPr>
        <w:spacing w:before="120"/>
        <w:rPr>
          <w:lang w:val="en-GB"/>
        </w:rPr>
      </w:pPr>
      <w:r w:rsidRPr="00044E23">
        <w:rPr>
          <w:lang w:val="en-GB"/>
        </w:rPr>
        <w:t>This is an important indicator that the current national and European rules are no longer fit to guarantee an acceptable level of protection of our personal data. The European Data Protection Directive (95/46/EC)</w:t>
      </w:r>
      <w:r w:rsidRPr="00044E23">
        <w:rPr>
          <w:rStyle w:val="Funotenzeichen"/>
          <w:lang w:val="en-GB"/>
        </w:rPr>
        <w:footnoteReference w:id="4"/>
      </w:r>
      <w:r w:rsidRPr="00044E23">
        <w:rPr>
          <w:lang w:val="en-GB"/>
        </w:rPr>
        <w:t xml:space="preserve"> that dates from 1995 has not been brought into line with the fast evolving, increasingly international digital world. </w:t>
      </w:r>
    </w:p>
    <w:p w:rsidR="003162EC" w:rsidRPr="00044E23" w:rsidRDefault="003162EC" w:rsidP="003162EC">
      <w:pPr>
        <w:spacing w:before="120"/>
        <w:rPr>
          <w:lang w:val="en-GB"/>
        </w:rPr>
      </w:pPr>
      <w:r w:rsidRPr="00044E23">
        <w:rPr>
          <w:lang w:val="en-GB"/>
        </w:rPr>
        <w:t>Although the Directive did achieve the introduction of a minimum level of protection across the EU, it also led to large-scale fragmentation as it was transposed into law and interpreted in accordance with the legal regimes of 27 member states. This led to additional costs for businesses active across the entire EU. The Directive was transposed into law in the Netherlands in the Dutch Data Protection Act (Wet bescherming persoonsgegevens, "DDPA").</w:t>
      </w:r>
    </w:p>
    <w:p w:rsidR="003162EC" w:rsidRPr="00044E23" w:rsidRDefault="003162EC" w:rsidP="003162EC">
      <w:pPr>
        <w:spacing w:before="120"/>
        <w:rPr>
          <w:lang w:val="en-GB"/>
        </w:rPr>
      </w:pPr>
      <w:r w:rsidRPr="00044E23">
        <w:rPr>
          <w:lang w:val="en-GB"/>
        </w:rPr>
        <w:t>A review of the European Data Protection Directive from 1995 was due in 2012 to bring it into line with advances in technology. After a broad consultation, it was decided to replace the Directive with the European Data Protection Regulation</w:t>
      </w:r>
      <w:r w:rsidRPr="00044E23">
        <w:rPr>
          <w:rStyle w:val="Funotenzeichen"/>
          <w:lang w:val="en-GB"/>
        </w:rPr>
        <w:footnoteReference w:id="5"/>
      </w:r>
      <w:r w:rsidR="00D05B7C" w:rsidRPr="00044E23">
        <w:rPr>
          <w:lang w:val="en-GB"/>
        </w:rPr>
        <w:t>.</w:t>
      </w:r>
      <w:r w:rsidRPr="00044E23">
        <w:rPr>
          <w:lang w:val="en-GB"/>
        </w:rPr>
        <w:t xml:space="preserve"> </w:t>
      </w:r>
    </w:p>
    <w:p w:rsidR="000C6B0E" w:rsidRPr="00044E23" w:rsidRDefault="003162EC" w:rsidP="003162EC">
      <w:pPr>
        <w:rPr>
          <w:lang w:val="en-GB"/>
        </w:rPr>
      </w:pPr>
      <w:r w:rsidRPr="00044E23">
        <w:rPr>
          <w:lang w:val="en-GB"/>
        </w:rPr>
        <w:t>The Ministry of Economic Affairs asked SIRA Consulting to make an assessment of the quantitative impact, in terms of administrative burden and compliance costs, that the European Data Protection Regulation will have on Dutch businesses. The findings of the study are set out in this report.</w:t>
      </w:r>
    </w:p>
    <w:p w:rsidR="00BC5DDD" w:rsidRPr="00044E23" w:rsidRDefault="00BC5DDD" w:rsidP="00BC5DDD">
      <w:pPr>
        <w:pStyle w:val="berschrift1"/>
        <w:rPr>
          <w:lang w:val="en-GB"/>
        </w:rPr>
      </w:pPr>
      <w:bookmarkStart w:id="3" w:name="_Toc360101906"/>
      <w:r w:rsidRPr="00044E23">
        <w:rPr>
          <w:lang w:val="en-GB"/>
        </w:rPr>
        <w:t>Objectives</w:t>
      </w:r>
      <w:bookmarkEnd w:id="3"/>
    </w:p>
    <w:p w:rsidR="00BC5DDD" w:rsidRPr="00044E23" w:rsidRDefault="00BC5DDD" w:rsidP="00BC5DDD">
      <w:pPr>
        <w:rPr>
          <w:lang w:val="en-GB"/>
        </w:rPr>
      </w:pPr>
      <w:r w:rsidRPr="00044E23">
        <w:rPr>
          <w:lang w:val="en-GB"/>
        </w:rPr>
        <w:t>The objectives of the study, entitled “Evaluation of the EU Data Protection Regulation”, were formulated as follows:</w:t>
      </w:r>
    </w:p>
    <w:p w:rsidR="00BC5DDD" w:rsidRPr="00044E23" w:rsidRDefault="00BC5DDD" w:rsidP="00785580">
      <w:pPr>
        <w:numPr>
          <w:ilvl w:val="0"/>
          <w:numId w:val="30"/>
        </w:numPr>
        <w:rPr>
          <w:lang w:val="en-GB"/>
        </w:rPr>
      </w:pPr>
      <w:r w:rsidRPr="00044E23">
        <w:rPr>
          <w:lang w:val="en-GB"/>
        </w:rPr>
        <w:t>Describe the information obligations contained in the European Data Protection Regulation and make a comparison with the current regime.</w:t>
      </w:r>
    </w:p>
    <w:p w:rsidR="00BC5DDD" w:rsidRPr="00044E23" w:rsidRDefault="004E6008" w:rsidP="00785580">
      <w:pPr>
        <w:numPr>
          <w:ilvl w:val="0"/>
          <w:numId w:val="30"/>
        </w:numPr>
        <w:rPr>
          <w:lang w:val="en-GB"/>
        </w:rPr>
      </w:pPr>
      <w:r w:rsidRPr="00044E23">
        <w:rPr>
          <w:rStyle w:val="Funotenzeichen"/>
          <w:lang w:val="en-GB"/>
        </w:rPr>
        <w:footnoteReference w:id="6"/>
      </w:r>
      <w:r w:rsidR="00BC5DDD" w:rsidRPr="00044E23">
        <w:rPr>
          <w:lang w:val="en-GB"/>
        </w:rPr>
        <w:t>Quantify the identified impact of the proposed legislation and regulation on the administrative burden (AB) and compliance costs (CC)</w:t>
      </w:r>
      <w:r w:rsidR="00B438E2" w:rsidRPr="00044E23">
        <w:rPr>
          <w:rStyle w:val="Funotenzeichen"/>
          <w:lang w:val="en-GB"/>
        </w:rPr>
        <w:footnoteReference w:id="7"/>
      </w:r>
      <w:r w:rsidR="00BC5DDD" w:rsidRPr="00044E23">
        <w:rPr>
          <w:lang w:val="en-GB"/>
        </w:rPr>
        <w:t xml:space="preserve"> to businesses using the Standard Cost Model (SCM), and compare this with the current situation.</w:t>
      </w:r>
    </w:p>
    <w:p w:rsidR="00BC5DDD" w:rsidRPr="00044E23" w:rsidRDefault="00BC5DDD" w:rsidP="00785580">
      <w:pPr>
        <w:numPr>
          <w:ilvl w:val="0"/>
          <w:numId w:val="30"/>
        </w:numPr>
        <w:rPr>
          <w:lang w:val="en-GB"/>
        </w:rPr>
      </w:pPr>
      <w:r w:rsidRPr="00044E23">
        <w:rPr>
          <w:lang w:val="en-GB"/>
        </w:rPr>
        <w:t>Compare the assumptions and the outcomes of the impact assessments made by the Confederation of Netherlands Industry and Employers (VNO-NCW), the United Kingdom and Germany with the outcomes based on the SCM.</w:t>
      </w:r>
    </w:p>
    <w:p w:rsidR="00BC5DDD" w:rsidRPr="00044E23" w:rsidRDefault="00BC5DDD" w:rsidP="003162EC">
      <w:pPr>
        <w:rPr>
          <w:lang w:val="en-GB"/>
        </w:rPr>
      </w:pPr>
    </w:p>
    <w:p w:rsidR="003E3D42" w:rsidRPr="00044E23" w:rsidRDefault="003E3D42" w:rsidP="003162EC">
      <w:pPr>
        <w:rPr>
          <w:lang w:val="en-GB"/>
        </w:rPr>
      </w:pPr>
    </w:p>
    <w:p w:rsidR="003A6B87" w:rsidRPr="00044E23" w:rsidRDefault="003A6B87" w:rsidP="0000797A">
      <w:pPr>
        <w:pStyle w:val="berschrift1"/>
        <w:numPr>
          <w:ilvl w:val="0"/>
          <w:numId w:val="0"/>
        </w:numPr>
        <w:rPr>
          <w:lang w:val="en-GB"/>
        </w:rPr>
        <w:sectPr w:rsidR="003A6B87" w:rsidRPr="00044E23" w:rsidSect="00A6566D">
          <w:headerReference w:type="even" r:id="rId17"/>
          <w:footerReference w:type="even" r:id="rId18"/>
          <w:headerReference w:type="first" r:id="rId19"/>
          <w:type w:val="oddPage"/>
          <w:pgSz w:w="11906" w:h="16838" w:code="9"/>
          <w:pgMar w:top="2835" w:right="1588" w:bottom="851" w:left="1985" w:header="851" w:footer="567" w:gutter="0"/>
          <w:cols w:space="708"/>
          <w:docGrid w:linePitch="360"/>
        </w:sectPr>
      </w:pPr>
    </w:p>
    <w:p w:rsidR="00BE71EE" w:rsidRPr="00044E23" w:rsidRDefault="00BE71EE" w:rsidP="00BE71EE">
      <w:pPr>
        <w:pStyle w:val="berschrift1"/>
        <w:rPr>
          <w:lang w:val="en-GB"/>
        </w:rPr>
      </w:pPr>
      <w:bookmarkStart w:id="4" w:name="_Toc360101907"/>
      <w:r w:rsidRPr="00044E23">
        <w:rPr>
          <w:lang w:val="en-GB"/>
        </w:rPr>
        <w:t>Method and assumptions</w:t>
      </w:r>
      <w:bookmarkEnd w:id="4"/>
    </w:p>
    <w:p w:rsidR="008F27A1" w:rsidRPr="00044E23" w:rsidRDefault="008F27A1" w:rsidP="008F27A1">
      <w:pPr>
        <w:pStyle w:val="berschrift2"/>
        <w:rPr>
          <w:lang w:val="en-GB"/>
        </w:rPr>
      </w:pPr>
      <w:bookmarkStart w:id="5" w:name="_Toc360101908"/>
      <w:r w:rsidRPr="00044E23">
        <w:rPr>
          <w:lang w:val="en-GB"/>
        </w:rPr>
        <w:t>Method</w:t>
      </w:r>
      <w:bookmarkEnd w:id="5"/>
    </w:p>
    <w:p w:rsidR="003A6B87" w:rsidRPr="00044E23" w:rsidRDefault="00DB03AF" w:rsidP="00A1451B">
      <w:pPr>
        <w:rPr>
          <w:lang w:val="en-GB"/>
        </w:rPr>
      </w:pPr>
      <w:r w:rsidRPr="00044E23">
        <w:rPr>
          <w:lang w:val="en-GB"/>
        </w:rPr>
        <w:t>The project was conducted in four stages, which are explained in the following paragraphs.</w:t>
      </w:r>
    </w:p>
    <w:p w:rsidR="003A6B87" w:rsidRPr="00044E23" w:rsidRDefault="003A6B87" w:rsidP="003A6B87">
      <w:pPr>
        <w:pStyle w:val="berschrift4"/>
        <w:rPr>
          <w:lang w:val="en-GB"/>
        </w:rPr>
      </w:pPr>
      <w:r w:rsidRPr="00044E23">
        <w:rPr>
          <w:lang w:val="en-GB"/>
        </w:rPr>
        <w:t>Stage 1. Establish the assumptions and conduct a desktop study</w:t>
      </w:r>
    </w:p>
    <w:p w:rsidR="0048769A" w:rsidRPr="00044E23" w:rsidRDefault="00964331" w:rsidP="002D2FDF">
      <w:pPr>
        <w:pStyle w:val="berschrift4"/>
        <w:spacing w:before="60" w:after="60"/>
        <w:rPr>
          <w:b w:val="0"/>
          <w:color w:val="auto"/>
          <w:lang w:val="en-GB"/>
        </w:rPr>
      </w:pPr>
      <w:r w:rsidRPr="00044E23">
        <w:rPr>
          <w:rFonts w:eastAsiaTheme="minorHAnsi" w:cstheme="minorBidi"/>
          <w:b w:val="0"/>
          <w:bCs w:val="0"/>
          <w:iCs w:val="0"/>
          <w:color w:val="auto"/>
          <w:lang w:val="en-GB"/>
        </w:rPr>
        <w:t>In preparation of the study, a considerable part of the data needed for the study was made available by the Ministry of Economic Affairs and the Ministry of Security and Justice. SIRA Consulting analysed this data and adjusted its approach accordingly. These adjustments were primarily related to the processual aspects of the study and establishing the assumptions, rules and documents which form the basis of the study.</w:t>
      </w:r>
    </w:p>
    <w:p w:rsidR="008054DC" w:rsidRPr="00044E23" w:rsidRDefault="008054DC" w:rsidP="008054DC">
      <w:pPr>
        <w:rPr>
          <w:lang w:val="en-GB"/>
        </w:rPr>
      </w:pPr>
      <w:r w:rsidRPr="00044E23">
        <w:rPr>
          <w:lang w:val="en-GB"/>
        </w:rPr>
        <w:t>Based on the most recent version of the proposed Data Protection Regulation and the consolidated version of the Dutch Data Protection Act, a qualitative description was drafted of the current and proposed regulatory regime. The description includes a summary of the differences between the current obligations and those under the proposed Regulation.</w:t>
      </w:r>
    </w:p>
    <w:p w:rsidR="003A6B87" w:rsidRPr="00044E23" w:rsidRDefault="003A6B87" w:rsidP="003A6B87">
      <w:pPr>
        <w:pStyle w:val="berschrift4"/>
        <w:rPr>
          <w:lang w:val="en-GB"/>
        </w:rPr>
      </w:pPr>
      <w:r w:rsidRPr="00044E23">
        <w:rPr>
          <w:lang w:val="en-GB"/>
        </w:rPr>
        <w:t>Stage 2. Conduct interviews with policy experts and produce an init</w:t>
      </w:r>
      <w:r w:rsidR="00C30982" w:rsidRPr="00044E23">
        <w:rPr>
          <w:lang w:val="en-GB"/>
        </w:rPr>
        <w:t>ial quantification of the costs</w:t>
      </w:r>
    </w:p>
    <w:p w:rsidR="008054DC" w:rsidRPr="00044E23" w:rsidRDefault="008054DC" w:rsidP="0048769A">
      <w:pPr>
        <w:rPr>
          <w:lang w:val="en-GB"/>
        </w:rPr>
      </w:pPr>
      <w:r w:rsidRPr="00044E23">
        <w:rPr>
          <w:lang w:val="en-GB"/>
        </w:rPr>
        <w:t>The qualitative description of the current and proposed regulatory regime from Stage 1 was then adjusted based on an interview with the Ministry of Security and Justice. In order to make most efficient use of the cost and the available time for the study, the cost impact was initially quantified based on data that was already available. Particularly useful were the cost calculations already performed by VNO-NCW as these offer the best match for the situation in the Netherlands. In conducting the provisional cost calculations, SIRA Consulting processed the data in such a way that the source can be traced and that it is potentially usable in any future studies.</w:t>
      </w:r>
    </w:p>
    <w:p w:rsidR="006D3C88" w:rsidRPr="00044E23" w:rsidRDefault="006D3C88" w:rsidP="006D3C88">
      <w:pPr>
        <w:rPr>
          <w:lang w:val="en-GB"/>
        </w:rPr>
      </w:pPr>
      <w:r w:rsidRPr="00044E23">
        <w:rPr>
          <w:lang w:val="en-GB"/>
        </w:rPr>
        <w:t>Furthermore, an interview was held with VNO-NCW for further clarification of their own estimate of the cost to Dutch businesses. In the interview, the cost calculations of the VNO-NCW were critically evaluated, and the consequences that these obligations of the Data Protection Regulation would have were checked for correct interpretation. Furthermore, the discussion also covered the sources used by VNO-NCW and what their assumptions and suppositions were. Based on the outcomes of the interview with VNO-NCW, the cost aspects resulting from the proposed Data Protection Regulation and the current regime were adjusted in the provisional cost calculation.</w:t>
      </w:r>
    </w:p>
    <w:p w:rsidR="00811DCB" w:rsidRPr="00044E23" w:rsidRDefault="00811DCB">
      <w:pPr>
        <w:ind w:left="-851"/>
        <w:jc w:val="left"/>
        <w:rPr>
          <w:rFonts w:eastAsiaTheme="majorEastAsia" w:cstheme="majorBidi"/>
          <w:b/>
          <w:bCs/>
          <w:iCs/>
          <w:color w:val="000080"/>
          <w:lang w:val="en-GB"/>
        </w:rPr>
      </w:pPr>
      <w:r w:rsidRPr="00044E23">
        <w:rPr>
          <w:lang w:val="en-GB"/>
        </w:rPr>
        <w:br w:type="page"/>
      </w:r>
    </w:p>
    <w:p w:rsidR="003A6B87" w:rsidRPr="00044E23" w:rsidRDefault="003A6B87" w:rsidP="004531D9">
      <w:pPr>
        <w:pStyle w:val="berschrift4"/>
        <w:rPr>
          <w:lang w:val="en-GB"/>
        </w:rPr>
      </w:pPr>
      <w:r w:rsidRPr="00044E23">
        <w:rPr>
          <w:lang w:val="en-GB"/>
        </w:rPr>
        <w:t>Stage 3. Conduct interviews with implementing experts</w:t>
      </w:r>
    </w:p>
    <w:p w:rsidR="003A6B87" w:rsidRPr="00044E23" w:rsidRDefault="00447745" w:rsidP="003A6B87">
      <w:pPr>
        <w:rPr>
          <w:lang w:val="en-GB"/>
        </w:rPr>
      </w:pPr>
      <w:r w:rsidRPr="00044E23">
        <w:rPr>
          <w:lang w:val="en-GB"/>
        </w:rPr>
        <w:t>In Stage 3, the data taken and the assumptions used were verified with practising professionals. Any missing data was also gathered. The number of interviews in Stage 3 was limited given that as much use as possible was made of specialist expertise in Step 2. Furthermore, during the interviews it was found that many implementing experts could not make an estimate of the costs under either the current regime or the proposed Regulation. Data was therefore only collected from implementing experts who were able to make quantitative estimates of the costs.</w:t>
      </w:r>
    </w:p>
    <w:p w:rsidR="00047AC7" w:rsidRPr="00044E23" w:rsidRDefault="00976463" w:rsidP="003A6B87">
      <w:pPr>
        <w:rPr>
          <w:lang w:val="en-GB"/>
        </w:rPr>
      </w:pPr>
      <w:r w:rsidRPr="00044E23">
        <w:rPr>
          <w:lang w:val="en-GB"/>
        </w:rPr>
        <w:t>Based on the outcomes of the interviews with the implementing experts, the costs included in the cost calculations were adjusted. This completes the calculation of the costs for Dutch businesses. For the sake of comparability of the various results within the project, but also for comparison with other cost calculations, national measurement methods were used to calculate the costs. This study used the Standard Cost Model (SCM). The SCM also offers the advantage that all data in the model can be traced back to the source data and that all calculations made are therefore transparent.</w:t>
      </w:r>
    </w:p>
    <w:p w:rsidR="00047AC7" w:rsidRPr="00044E23" w:rsidRDefault="00047AC7" w:rsidP="003A6B87">
      <w:pPr>
        <w:rPr>
          <w:lang w:val="en-GB"/>
        </w:rPr>
      </w:pPr>
      <w:r w:rsidRPr="00044E23">
        <w:rPr>
          <w:lang w:val="en-GB"/>
        </w:rPr>
        <w:t>Apart from the quantitative data that is included in the SCM, qualitative data was also discussed during the interviews. All relevant qualitative data has been included in the description of the obligations in Chapter 4 of this report.</w:t>
      </w:r>
    </w:p>
    <w:p w:rsidR="003A6B87" w:rsidRPr="00044E23" w:rsidRDefault="003A6B87" w:rsidP="003A6B87">
      <w:pPr>
        <w:pStyle w:val="berschrift4"/>
        <w:rPr>
          <w:lang w:val="en-GB"/>
        </w:rPr>
      </w:pPr>
      <w:r w:rsidRPr="00044E23">
        <w:rPr>
          <w:lang w:val="en-GB"/>
        </w:rPr>
        <w:t>Stage 4. Consolidation and final report</w:t>
      </w:r>
    </w:p>
    <w:p w:rsidR="00F76608" w:rsidRPr="00044E23" w:rsidRDefault="00F76608" w:rsidP="00F76608">
      <w:pPr>
        <w:rPr>
          <w:lang w:val="en-GB"/>
        </w:rPr>
      </w:pPr>
      <w:r w:rsidRPr="00044E23">
        <w:rPr>
          <w:lang w:val="en-GB"/>
        </w:rPr>
        <w:t xml:space="preserve">In the final stage of the report, the outcomes of the study were presented in this report, which sets out the quantitative and the qualitative impact of the current and the proposed regimes. It also makes a comparison with previously conducted impact assessments. </w:t>
      </w:r>
    </w:p>
    <w:p w:rsidR="00A1451B" w:rsidRPr="00044E23" w:rsidRDefault="00A00AB4" w:rsidP="00F76608">
      <w:pPr>
        <w:rPr>
          <w:lang w:val="en-GB"/>
        </w:rPr>
      </w:pPr>
      <w:r w:rsidRPr="00044E23">
        <w:rPr>
          <w:lang w:val="en-GB"/>
        </w:rPr>
        <w:t>This report has been discussed with the client. An executive summary of the report and the outcomes of the study are available in Dutch and English.</w:t>
      </w:r>
    </w:p>
    <w:p w:rsidR="00811DCB" w:rsidRPr="00044E23" w:rsidRDefault="00811DCB">
      <w:pPr>
        <w:ind w:left="-851"/>
        <w:jc w:val="left"/>
        <w:rPr>
          <w:rFonts w:eastAsiaTheme="majorEastAsia" w:cstheme="majorBidi"/>
          <w:b/>
          <w:bCs/>
          <w:color w:val="000080"/>
          <w:sz w:val="24"/>
          <w:szCs w:val="26"/>
          <w:lang w:val="en-GB"/>
        </w:rPr>
      </w:pPr>
      <w:r w:rsidRPr="00044E23">
        <w:rPr>
          <w:lang w:val="en-GB"/>
        </w:rPr>
        <w:br w:type="page"/>
      </w:r>
    </w:p>
    <w:p w:rsidR="008F27A1" w:rsidRPr="00044E23" w:rsidRDefault="008F27A1" w:rsidP="008F27A1">
      <w:pPr>
        <w:pStyle w:val="berschrift2"/>
        <w:rPr>
          <w:lang w:val="en-GB"/>
        </w:rPr>
      </w:pPr>
      <w:bookmarkStart w:id="6" w:name="_Toc360101909"/>
      <w:r w:rsidRPr="00044E23">
        <w:rPr>
          <w:lang w:val="en-GB"/>
        </w:rPr>
        <w:t>Assumptions</w:t>
      </w:r>
      <w:bookmarkEnd w:id="6"/>
    </w:p>
    <w:p w:rsidR="008F27A1" w:rsidRPr="00044E23" w:rsidRDefault="008F27A1" w:rsidP="008F27A1">
      <w:pPr>
        <w:rPr>
          <w:lang w:val="en-GB"/>
        </w:rPr>
      </w:pPr>
      <w:r w:rsidRPr="00044E23">
        <w:rPr>
          <w:lang w:val="en-GB"/>
        </w:rPr>
        <w:t>A number of assumptions were made for the purposes of the study, and these are accounted for below.</w:t>
      </w:r>
    </w:p>
    <w:p w:rsidR="008F27A1" w:rsidRPr="00044E23" w:rsidRDefault="00AB25B3" w:rsidP="008F27A1">
      <w:pPr>
        <w:rPr>
          <w:b/>
          <w:color w:val="000080"/>
          <w:lang w:val="en-GB"/>
        </w:rPr>
      </w:pPr>
      <w:r w:rsidRPr="00044E23">
        <w:rPr>
          <w:b/>
          <w:color w:val="000080"/>
          <w:lang w:val="en-GB"/>
        </w:rPr>
        <w:t>1. AB and CC are calculated in accordance with the SCM</w:t>
      </w:r>
    </w:p>
    <w:p w:rsidR="00914E9E" w:rsidRPr="00044E23" w:rsidRDefault="00B82927" w:rsidP="008F27A1">
      <w:pPr>
        <w:rPr>
          <w:lang w:val="en-GB"/>
        </w:rPr>
      </w:pPr>
      <w:r w:rsidRPr="00044E23">
        <w:rPr>
          <w:lang w:val="en-GB"/>
        </w:rPr>
        <w:t>AB refers to the costs that businesses incur in order to meet the information obligations imposed by legislation and regulations. CC refers to the costs that businesses incur in order to meet other obligations imposed by legislation and regulations, including information obligations vis-à-vis third parties outside government circles.</w:t>
      </w:r>
    </w:p>
    <w:p w:rsidR="001F0CE3" w:rsidRPr="00044E23" w:rsidRDefault="001F0CE3" w:rsidP="008F27A1">
      <w:pPr>
        <w:rPr>
          <w:lang w:val="en-GB"/>
        </w:rPr>
      </w:pPr>
      <w:r w:rsidRPr="00044E23">
        <w:rPr>
          <w:lang w:val="en-GB"/>
        </w:rPr>
        <w:t>AB and CC were calculated using the SCM method for businesses.</w:t>
      </w:r>
    </w:p>
    <w:p w:rsidR="00D70160" w:rsidRPr="00044E23" w:rsidRDefault="00D70160" w:rsidP="008F27A1">
      <w:pPr>
        <w:rPr>
          <w:b/>
          <w:color w:val="000080"/>
          <w:lang w:val="en-GB"/>
        </w:rPr>
      </w:pPr>
      <w:r w:rsidRPr="00044E23">
        <w:rPr>
          <w:b/>
          <w:color w:val="000080"/>
          <w:lang w:val="en-GB"/>
        </w:rPr>
        <w:t>2. Cost calculation only relates to AB and CC</w:t>
      </w:r>
    </w:p>
    <w:p w:rsidR="0098410E" w:rsidRPr="00044E23" w:rsidRDefault="0073320C" w:rsidP="008F27A1">
      <w:pPr>
        <w:rPr>
          <w:lang w:val="en-GB"/>
        </w:rPr>
      </w:pPr>
      <w:r w:rsidRPr="00044E23">
        <w:rPr>
          <w:lang w:val="en-GB"/>
        </w:rPr>
        <w:t>In accordance with the scope of the assignment, the study only focused on quantifying the impact of the proposed Data Protection Regulation on AB and CC for businesses in the Netherlands. Other financial effects have not been taken into account in the study.</w:t>
      </w:r>
    </w:p>
    <w:p w:rsidR="00066C5D" w:rsidRPr="00044E23" w:rsidRDefault="002E6BA9" w:rsidP="002E6BA9">
      <w:pPr>
        <w:rPr>
          <w:b/>
          <w:color w:val="000080"/>
          <w:lang w:val="en-GB"/>
        </w:rPr>
      </w:pPr>
      <w:r w:rsidRPr="00044E23">
        <w:rPr>
          <w:b/>
          <w:color w:val="000080"/>
          <w:lang w:val="en-GB"/>
        </w:rPr>
        <w:t>3. The study was conducted on the basis of the proposed Regulation as available on 25 January 2012</w:t>
      </w:r>
    </w:p>
    <w:p w:rsidR="002E6BA9" w:rsidRPr="00044E23" w:rsidRDefault="002E6BA9" w:rsidP="002E6BA9">
      <w:pPr>
        <w:rPr>
          <w:lang w:val="en-GB"/>
        </w:rPr>
      </w:pPr>
      <w:r w:rsidRPr="00044E23">
        <w:rPr>
          <w:lang w:val="en-GB"/>
        </w:rPr>
        <w:t>The study was conducted on the basis of the Proposal for a Regulation of the European Parliament and of the Council on the protection of individuals with regard to the processing of personal data and on the free movement of such data (General Data Protection Regulation) as it stood on 25 January 2012.</w:t>
      </w:r>
      <w:r w:rsidR="00FF5336" w:rsidRPr="00044E23">
        <w:rPr>
          <w:rStyle w:val="Funotenzeichen"/>
          <w:lang w:val="en-GB"/>
        </w:rPr>
        <w:footnoteReference w:id="8"/>
      </w:r>
      <w:r w:rsidR="00FF5336" w:rsidRPr="00044E23">
        <w:rPr>
          <w:lang w:val="en-GB"/>
        </w:rPr>
        <w:t>.</w:t>
      </w:r>
    </w:p>
    <w:p w:rsidR="003A6B87" w:rsidRPr="00044E23" w:rsidRDefault="00F43AD2" w:rsidP="003A6B87">
      <w:pPr>
        <w:pStyle w:val="berschrift1"/>
        <w:rPr>
          <w:lang w:val="en-GB"/>
        </w:rPr>
      </w:pPr>
      <w:bookmarkStart w:id="7" w:name="_Toc360101910"/>
      <w:r w:rsidRPr="00044E23">
        <w:rPr>
          <w:lang w:val="en-GB"/>
        </w:rPr>
        <w:t>Comparison of the obligations</w:t>
      </w:r>
      <w:bookmarkEnd w:id="7"/>
    </w:p>
    <w:p w:rsidR="002E512B" w:rsidRPr="00044E23" w:rsidRDefault="002E512B" w:rsidP="002E512B">
      <w:pPr>
        <w:rPr>
          <w:lang w:val="en-GB"/>
        </w:rPr>
      </w:pPr>
      <w:r w:rsidRPr="00044E23">
        <w:rPr>
          <w:lang w:val="en-GB"/>
        </w:rPr>
        <w:t>This chapter compares the obligations under the current Dutch Data Protection Act with the obligations that would arise under the proposed European Data Protection Regulation. In doing so, we followed the structure set out in the figure below.</w:t>
      </w:r>
    </w:p>
    <w:p w:rsidR="002E512B" w:rsidRPr="00044E23" w:rsidRDefault="002E512B" w:rsidP="002E512B">
      <w:pPr>
        <w:pBdr>
          <w:bottom w:val="single" w:sz="4" w:space="1" w:color="auto"/>
        </w:pBdr>
        <w:rPr>
          <w:lang w:val="en-GB"/>
        </w:rPr>
      </w:pPr>
    </w:p>
    <w:p w:rsidR="002E512B" w:rsidRPr="00044E23" w:rsidRDefault="00C523D2" w:rsidP="002E512B">
      <w:pPr>
        <w:pStyle w:val="Beschriftung"/>
        <w:spacing w:line="260" w:lineRule="atLeast"/>
        <w:jc w:val="center"/>
        <w:rPr>
          <w:lang w:val="en-GB"/>
        </w:rPr>
      </w:pPr>
      <w:r>
        <w:rPr>
          <w:noProof/>
          <w:lang w:val="de-DE" w:eastAsia="de-DE"/>
        </w:rPr>
        <mc:AlternateContent>
          <mc:Choice Requires="wpc">
            <w:drawing>
              <wp:inline distT="0" distB="0" distL="0" distR="0">
                <wp:extent cx="2379980" cy="2205990"/>
                <wp:effectExtent l="9525" t="9525" r="1270" b="3810"/>
                <wp:docPr id="16" name="Zeichenbereich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9"/>
                        <wps:cNvSpPr>
                          <a:spLocks noChangeArrowheads="1"/>
                        </wps:cNvSpPr>
                        <wps:spPr bwMode="auto">
                          <a:xfrm>
                            <a:off x="8255" y="8255"/>
                            <a:ext cx="1685925" cy="1640205"/>
                          </a:xfrm>
                          <a:prstGeom prst="rect">
                            <a:avLst/>
                          </a:prstGeom>
                          <a:solidFill>
                            <a:srgbClr val="F8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 name="Freeform 10"/>
                        <wps:cNvSpPr>
                          <a:spLocks noEditPoints="1"/>
                        </wps:cNvSpPr>
                        <wps:spPr bwMode="auto">
                          <a:xfrm>
                            <a:off x="0" y="0"/>
                            <a:ext cx="1702435" cy="1657350"/>
                          </a:xfrm>
                          <a:custGeom>
                            <a:avLst/>
                            <a:gdLst>
                              <a:gd name="T0" fmla="*/ 0 w 4768"/>
                              <a:gd name="T1" fmla="*/ 24 h 4640"/>
                              <a:gd name="T2" fmla="*/ 24 w 4768"/>
                              <a:gd name="T3" fmla="*/ 0 h 4640"/>
                              <a:gd name="T4" fmla="*/ 4744 w 4768"/>
                              <a:gd name="T5" fmla="*/ 0 h 4640"/>
                              <a:gd name="T6" fmla="*/ 4768 w 4768"/>
                              <a:gd name="T7" fmla="*/ 24 h 4640"/>
                              <a:gd name="T8" fmla="*/ 4768 w 4768"/>
                              <a:gd name="T9" fmla="*/ 4616 h 4640"/>
                              <a:gd name="T10" fmla="*/ 4744 w 4768"/>
                              <a:gd name="T11" fmla="*/ 4640 h 4640"/>
                              <a:gd name="T12" fmla="*/ 24 w 4768"/>
                              <a:gd name="T13" fmla="*/ 4640 h 4640"/>
                              <a:gd name="T14" fmla="*/ 0 w 4768"/>
                              <a:gd name="T15" fmla="*/ 4616 h 4640"/>
                              <a:gd name="T16" fmla="*/ 0 w 4768"/>
                              <a:gd name="T17" fmla="*/ 24 h 4640"/>
                              <a:gd name="T18" fmla="*/ 48 w 4768"/>
                              <a:gd name="T19" fmla="*/ 4616 h 4640"/>
                              <a:gd name="T20" fmla="*/ 24 w 4768"/>
                              <a:gd name="T21" fmla="*/ 4592 h 4640"/>
                              <a:gd name="T22" fmla="*/ 4744 w 4768"/>
                              <a:gd name="T23" fmla="*/ 4592 h 4640"/>
                              <a:gd name="T24" fmla="*/ 4720 w 4768"/>
                              <a:gd name="T25" fmla="*/ 4616 h 4640"/>
                              <a:gd name="T26" fmla="*/ 4720 w 4768"/>
                              <a:gd name="T27" fmla="*/ 24 h 4640"/>
                              <a:gd name="T28" fmla="*/ 4744 w 4768"/>
                              <a:gd name="T29" fmla="*/ 48 h 4640"/>
                              <a:gd name="T30" fmla="*/ 24 w 4768"/>
                              <a:gd name="T31" fmla="*/ 48 h 4640"/>
                              <a:gd name="T32" fmla="*/ 48 w 4768"/>
                              <a:gd name="T33" fmla="*/ 24 h 4640"/>
                              <a:gd name="T34" fmla="*/ 48 w 4768"/>
                              <a:gd name="T35" fmla="*/ 4616 h 4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768" h="4640">
                                <a:moveTo>
                                  <a:pt x="0" y="24"/>
                                </a:moveTo>
                                <a:cubicBezTo>
                                  <a:pt x="0" y="11"/>
                                  <a:pt x="11" y="0"/>
                                  <a:pt x="24" y="0"/>
                                </a:cubicBezTo>
                                <a:lnTo>
                                  <a:pt x="4744" y="0"/>
                                </a:lnTo>
                                <a:cubicBezTo>
                                  <a:pt x="4758" y="0"/>
                                  <a:pt x="4768" y="11"/>
                                  <a:pt x="4768" y="24"/>
                                </a:cubicBezTo>
                                <a:lnTo>
                                  <a:pt x="4768" y="4616"/>
                                </a:lnTo>
                                <a:cubicBezTo>
                                  <a:pt x="4768" y="4630"/>
                                  <a:pt x="4758" y="4640"/>
                                  <a:pt x="4744" y="4640"/>
                                </a:cubicBezTo>
                                <a:lnTo>
                                  <a:pt x="24" y="4640"/>
                                </a:lnTo>
                                <a:cubicBezTo>
                                  <a:pt x="11" y="4640"/>
                                  <a:pt x="0" y="4630"/>
                                  <a:pt x="0" y="4616"/>
                                </a:cubicBezTo>
                                <a:lnTo>
                                  <a:pt x="0" y="24"/>
                                </a:lnTo>
                                <a:close/>
                                <a:moveTo>
                                  <a:pt x="48" y="4616"/>
                                </a:moveTo>
                                <a:lnTo>
                                  <a:pt x="24" y="4592"/>
                                </a:lnTo>
                                <a:lnTo>
                                  <a:pt x="4744" y="4592"/>
                                </a:lnTo>
                                <a:lnTo>
                                  <a:pt x="4720" y="4616"/>
                                </a:lnTo>
                                <a:lnTo>
                                  <a:pt x="4720" y="24"/>
                                </a:lnTo>
                                <a:lnTo>
                                  <a:pt x="4744" y="48"/>
                                </a:lnTo>
                                <a:lnTo>
                                  <a:pt x="24" y="48"/>
                                </a:lnTo>
                                <a:lnTo>
                                  <a:pt x="48" y="24"/>
                                </a:lnTo>
                                <a:lnTo>
                                  <a:pt x="48" y="4616"/>
                                </a:lnTo>
                                <a:close/>
                              </a:path>
                            </a:pathLst>
                          </a:custGeom>
                          <a:solidFill>
                            <a:srgbClr val="000000"/>
                          </a:solidFill>
                          <a:ln w="635">
                            <a:solidFill>
                              <a:srgbClr val="000000"/>
                            </a:solidFill>
                            <a:round/>
                            <a:headEnd/>
                            <a:tailEnd/>
                          </a:ln>
                        </wps:spPr>
                        <wps:bodyPr rot="0" vert="horz" wrap="square" lIns="91440" tIns="45720" rIns="91440" bIns="45720" anchor="t" anchorCtr="0" upright="1">
                          <a:noAutofit/>
                        </wps:bodyPr>
                      </wps:wsp>
                      <wps:wsp>
                        <wps:cNvPr id="3" name="Rectangle 11"/>
                        <wps:cNvSpPr>
                          <a:spLocks noChangeArrowheads="1"/>
                        </wps:cNvSpPr>
                        <wps:spPr bwMode="auto">
                          <a:xfrm>
                            <a:off x="442595" y="442595"/>
                            <a:ext cx="1685925" cy="1640205"/>
                          </a:xfrm>
                          <a:prstGeom prst="rect">
                            <a:avLst/>
                          </a:prstGeom>
                          <a:solidFill>
                            <a:srgbClr val="B9CD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12"/>
                        <wps:cNvSpPr>
                          <a:spLocks noEditPoints="1"/>
                        </wps:cNvSpPr>
                        <wps:spPr bwMode="auto">
                          <a:xfrm>
                            <a:off x="433705" y="434340"/>
                            <a:ext cx="1703070" cy="1657350"/>
                          </a:xfrm>
                          <a:custGeom>
                            <a:avLst/>
                            <a:gdLst>
                              <a:gd name="T0" fmla="*/ 0 w 4768"/>
                              <a:gd name="T1" fmla="*/ 24 h 4640"/>
                              <a:gd name="T2" fmla="*/ 24 w 4768"/>
                              <a:gd name="T3" fmla="*/ 0 h 4640"/>
                              <a:gd name="T4" fmla="*/ 4744 w 4768"/>
                              <a:gd name="T5" fmla="*/ 0 h 4640"/>
                              <a:gd name="T6" fmla="*/ 4768 w 4768"/>
                              <a:gd name="T7" fmla="*/ 24 h 4640"/>
                              <a:gd name="T8" fmla="*/ 4768 w 4768"/>
                              <a:gd name="T9" fmla="*/ 4616 h 4640"/>
                              <a:gd name="T10" fmla="*/ 4744 w 4768"/>
                              <a:gd name="T11" fmla="*/ 4640 h 4640"/>
                              <a:gd name="T12" fmla="*/ 24 w 4768"/>
                              <a:gd name="T13" fmla="*/ 4640 h 4640"/>
                              <a:gd name="T14" fmla="*/ 0 w 4768"/>
                              <a:gd name="T15" fmla="*/ 4616 h 4640"/>
                              <a:gd name="T16" fmla="*/ 0 w 4768"/>
                              <a:gd name="T17" fmla="*/ 24 h 4640"/>
                              <a:gd name="T18" fmla="*/ 48 w 4768"/>
                              <a:gd name="T19" fmla="*/ 4616 h 4640"/>
                              <a:gd name="T20" fmla="*/ 24 w 4768"/>
                              <a:gd name="T21" fmla="*/ 4592 h 4640"/>
                              <a:gd name="T22" fmla="*/ 4744 w 4768"/>
                              <a:gd name="T23" fmla="*/ 4592 h 4640"/>
                              <a:gd name="T24" fmla="*/ 4720 w 4768"/>
                              <a:gd name="T25" fmla="*/ 4616 h 4640"/>
                              <a:gd name="T26" fmla="*/ 4720 w 4768"/>
                              <a:gd name="T27" fmla="*/ 24 h 4640"/>
                              <a:gd name="T28" fmla="*/ 4744 w 4768"/>
                              <a:gd name="T29" fmla="*/ 48 h 4640"/>
                              <a:gd name="T30" fmla="*/ 24 w 4768"/>
                              <a:gd name="T31" fmla="*/ 48 h 4640"/>
                              <a:gd name="T32" fmla="*/ 48 w 4768"/>
                              <a:gd name="T33" fmla="*/ 24 h 4640"/>
                              <a:gd name="T34" fmla="*/ 48 w 4768"/>
                              <a:gd name="T35" fmla="*/ 4616 h 4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768" h="4640">
                                <a:moveTo>
                                  <a:pt x="0" y="24"/>
                                </a:moveTo>
                                <a:cubicBezTo>
                                  <a:pt x="0" y="11"/>
                                  <a:pt x="11" y="0"/>
                                  <a:pt x="24" y="0"/>
                                </a:cubicBezTo>
                                <a:lnTo>
                                  <a:pt x="4744" y="0"/>
                                </a:lnTo>
                                <a:cubicBezTo>
                                  <a:pt x="4758" y="0"/>
                                  <a:pt x="4768" y="11"/>
                                  <a:pt x="4768" y="24"/>
                                </a:cubicBezTo>
                                <a:lnTo>
                                  <a:pt x="4768" y="4616"/>
                                </a:lnTo>
                                <a:cubicBezTo>
                                  <a:pt x="4768" y="4630"/>
                                  <a:pt x="4758" y="4640"/>
                                  <a:pt x="4744" y="4640"/>
                                </a:cubicBezTo>
                                <a:lnTo>
                                  <a:pt x="24" y="4640"/>
                                </a:lnTo>
                                <a:cubicBezTo>
                                  <a:pt x="11" y="4640"/>
                                  <a:pt x="0" y="4630"/>
                                  <a:pt x="0" y="4616"/>
                                </a:cubicBezTo>
                                <a:lnTo>
                                  <a:pt x="0" y="24"/>
                                </a:lnTo>
                                <a:close/>
                                <a:moveTo>
                                  <a:pt x="48" y="4616"/>
                                </a:moveTo>
                                <a:lnTo>
                                  <a:pt x="24" y="4592"/>
                                </a:lnTo>
                                <a:lnTo>
                                  <a:pt x="4744" y="4592"/>
                                </a:lnTo>
                                <a:lnTo>
                                  <a:pt x="4720" y="4616"/>
                                </a:lnTo>
                                <a:lnTo>
                                  <a:pt x="4720" y="24"/>
                                </a:lnTo>
                                <a:lnTo>
                                  <a:pt x="4744" y="48"/>
                                </a:lnTo>
                                <a:lnTo>
                                  <a:pt x="24" y="48"/>
                                </a:lnTo>
                                <a:lnTo>
                                  <a:pt x="48" y="24"/>
                                </a:lnTo>
                                <a:lnTo>
                                  <a:pt x="48" y="4616"/>
                                </a:lnTo>
                                <a:close/>
                              </a:path>
                            </a:pathLst>
                          </a:custGeom>
                          <a:solidFill>
                            <a:srgbClr val="000000"/>
                          </a:solidFill>
                          <a:ln w="635">
                            <a:solidFill>
                              <a:srgbClr val="000000"/>
                            </a:solidFill>
                            <a:round/>
                            <a:headEnd/>
                            <a:tailEnd/>
                          </a:ln>
                        </wps:spPr>
                        <wps:bodyPr rot="0" vert="horz" wrap="square" lIns="91440" tIns="45720" rIns="91440" bIns="45720" anchor="t" anchorCtr="0" upright="1">
                          <a:noAutofit/>
                        </wps:bodyPr>
                      </wps:wsp>
                      <wps:wsp>
                        <wps:cNvPr id="6" name="Rectangle 13"/>
                        <wps:cNvSpPr>
                          <a:spLocks noChangeArrowheads="1"/>
                        </wps:cNvSpPr>
                        <wps:spPr bwMode="auto">
                          <a:xfrm>
                            <a:off x="442595" y="442595"/>
                            <a:ext cx="1251585" cy="1205865"/>
                          </a:xfrm>
                          <a:prstGeom prst="rect">
                            <a:avLst/>
                          </a:prstGeom>
                          <a:solidFill>
                            <a:srgbClr val="66FF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14"/>
                        <wps:cNvSpPr>
                          <a:spLocks noEditPoints="1"/>
                        </wps:cNvSpPr>
                        <wps:spPr bwMode="auto">
                          <a:xfrm>
                            <a:off x="433705" y="434340"/>
                            <a:ext cx="1268730" cy="1223010"/>
                          </a:xfrm>
                          <a:custGeom>
                            <a:avLst/>
                            <a:gdLst>
                              <a:gd name="T0" fmla="*/ 0 w 3552"/>
                              <a:gd name="T1" fmla="*/ 24 h 3424"/>
                              <a:gd name="T2" fmla="*/ 24 w 3552"/>
                              <a:gd name="T3" fmla="*/ 0 h 3424"/>
                              <a:gd name="T4" fmla="*/ 3528 w 3552"/>
                              <a:gd name="T5" fmla="*/ 0 h 3424"/>
                              <a:gd name="T6" fmla="*/ 3552 w 3552"/>
                              <a:gd name="T7" fmla="*/ 24 h 3424"/>
                              <a:gd name="T8" fmla="*/ 3552 w 3552"/>
                              <a:gd name="T9" fmla="*/ 3400 h 3424"/>
                              <a:gd name="T10" fmla="*/ 3528 w 3552"/>
                              <a:gd name="T11" fmla="*/ 3424 h 3424"/>
                              <a:gd name="T12" fmla="*/ 24 w 3552"/>
                              <a:gd name="T13" fmla="*/ 3424 h 3424"/>
                              <a:gd name="T14" fmla="*/ 0 w 3552"/>
                              <a:gd name="T15" fmla="*/ 3400 h 3424"/>
                              <a:gd name="T16" fmla="*/ 0 w 3552"/>
                              <a:gd name="T17" fmla="*/ 24 h 3424"/>
                              <a:gd name="T18" fmla="*/ 48 w 3552"/>
                              <a:gd name="T19" fmla="*/ 3400 h 3424"/>
                              <a:gd name="T20" fmla="*/ 24 w 3552"/>
                              <a:gd name="T21" fmla="*/ 3376 h 3424"/>
                              <a:gd name="T22" fmla="*/ 3528 w 3552"/>
                              <a:gd name="T23" fmla="*/ 3376 h 3424"/>
                              <a:gd name="T24" fmla="*/ 3504 w 3552"/>
                              <a:gd name="T25" fmla="*/ 3400 h 3424"/>
                              <a:gd name="T26" fmla="*/ 3504 w 3552"/>
                              <a:gd name="T27" fmla="*/ 24 h 3424"/>
                              <a:gd name="T28" fmla="*/ 3528 w 3552"/>
                              <a:gd name="T29" fmla="*/ 48 h 3424"/>
                              <a:gd name="T30" fmla="*/ 24 w 3552"/>
                              <a:gd name="T31" fmla="*/ 48 h 3424"/>
                              <a:gd name="T32" fmla="*/ 48 w 3552"/>
                              <a:gd name="T33" fmla="*/ 24 h 3424"/>
                              <a:gd name="T34" fmla="*/ 48 w 3552"/>
                              <a:gd name="T35" fmla="*/ 3400 h 3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552" h="3424">
                                <a:moveTo>
                                  <a:pt x="0" y="24"/>
                                </a:moveTo>
                                <a:cubicBezTo>
                                  <a:pt x="0" y="11"/>
                                  <a:pt x="11" y="0"/>
                                  <a:pt x="24" y="0"/>
                                </a:cubicBezTo>
                                <a:lnTo>
                                  <a:pt x="3528" y="0"/>
                                </a:lnTo>
                                <a:cubicBezTo>
                                  <a:pt x="3542" y="0"/>
                                  <a:pt x="3552" y="11"/>
                                  <a:pt x="3552" y="24"/>
                                </a:cubicBezTo>
                                <a:lnTo>
                                  <a:pt x="3552" y="3400"/>
                                </a:lnTo>
                                <a:cubicBezTo>
                                  <a:pt x="3552" y="3414"/>
                                  <a:pt x="3542" y="3424"/>
                                  <a:pt x="3528" y="3424"/>
                                </a:cubicBezTo>
                                <a:lnTo>
                                  <a:pt x="24" y="3424"/>
                                </a:lnTo>
                                <a:cubicBezTo>
                                  <a:pt x="11" y="3424"/>
                                  <a:pt x="0" y="3414"/>
                                  <a:pt x="0" y="3400"/>
                                </a:cubicBezTo>
                                <a:lnTo>
                                  <a:pt x="0" y="24"/>
                                </a:lnTo>
                                <a:close/>
                                <a:moveTo>
                                  <a:pt x="48" y="3400"/>
                                </a:moveTo>
                                <a:lnTo>
                                  <a:pt x="24" y="3376"/>
                                </a:lnTo>
                                <a:lnTo>
                                  <a:pt x="3528" y="3376"/>
                                </a:lnTo>
                                <a:lnTo>
                                  <a:pt x="3504" y="3400"/>
                                </a:lnTo>
                                <a:lnTo>
                                  <a:pt x="3504" y="24"/>
                                </a:lnTo>
                                <a:lnTo>
                                  <a:pt x="3528" y="48"/>
                                </a:lnTo>
                                <a:lnTo>
                                  <a:pt x="24" y="48"/>
                                </a:lnTo>
                                <a:lnTo>
                                  <a:pt x="48" y="24"/>
                                </a:lnTo>
                                <a:lnTo>
                                  <a:pt x="48" y="3400"/>
                                </a:lnTo>
                                <a:close/>
                              </a:path>
                            </a:pathLst>
                          </a:custGeom>
                          <a:solidFill>
                            <a:srgbClr val="000000"/>
                          </a:solidFill>
                          <a:ln w="635">
                            <a:solidFill>
                              <a:srgbClr val="000000"/>
                            </a:solidFill>
                            <a:round/>
                            <a:headEnd/>
                            <a:tailEnd/>
                          </a:ln>
                        </wps:spPr>
                        <wps:bodyPr rot="0" vert="horz" wrap="square" lIns="91440" tIns="45720" rIns="91440" bIns="45720" anchor="t" anchorCtr="0" upright="1">
                          <a:noAutofit/>
                        </wps:bodyPr>
                      </wps:wsp>
                      <wps:wsp>
                        <wps:cNvPr id="9" name="Rectangle 15"/>
                        <wps:cNvSpPr>
                          <a:spLocks noChangeArrowheads="1"/>
                        </wps:cNvSpPr>
                        <wps:spPr bwMode="auto">
                          <a:xfrm>
                            <a:off x="64135" y="35560"/>
                            <a:ext cx="4064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982" w:rsidRDefault="00C30982">
                              <w:r>
                                <w:rPr>
                                  <w:rFonts w:ascii="Trebuchet MS" w:hAnsi="Trebuchet MS" w:cs="Trebuchet MS"/>
                                  <w:color w:val="000000"/>
                                  <w:sz w:val="14"/>
                                  <w:szCs w:val="14"/>
                                  <w:lang w:val="en-US"/>
                                </w:rPr>
                                <w:t>§</w:t>
                              </w:r>
                            </w:p>
                          </w:txbxContent>
                        </wps:txbx>
                        <wps:bodyPr rot="0" vert="horz" wrap="none" lIns="0" tIns="0" rIns="0" bIns="0" anchor="t" anchorCtr="0" upright="1">
                          <a:spAutoFit/>
                        </wps:bodyPr>
                      </wps:wsp>
                      <wps:wsp>
                        <wps:cNvPr id="10" name="Rectangle 16"/>
                        <wps:cNvSpPr>
                          <a:spLocks noChangeArrowheads="1"/>
                        </wps:cNvSpPr>
                        <wps:spPr bwMode="auto">
                          <a:xfrm>
                            <a:off x="132080" y="35560"/>
                            <a:ext cx="12636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982" w:rsidRDefault="00C30982">
                              <w:r>
                                <w:rPr>
                                  <w:rFonts w:ascii="Trebuchet MS" w:hAnsi="Trebuchet MS" w:cs="Trebuchet MS"/>
                                  <w:color w:val="000000"/>
                                  <w:sz w:val="14"/>
                                  <w:szCs w:val="14"/>
                                  <w:lang w:val="en-US"/>
                                </w:rPr>
                                <w:t xml:space="preserve">4.2 </w:t>
                              </w:r>
                            </w:p>
                          </w:txbxContent>
                        </wps:txbx>
                        <wps:bodyPr rot="0" vert="horz" wrap="none" lIns="0" tIns="0" rIns="0" bIns="0" anchor="t" anchorCtr="0" upright="1">
                          <a:spAutoFit/>
                        </wps:bodyPr>
                      </wps:wsp>
                      <wps:wsp>
                        <wps:cNvPr id="11" name="Rectangle 17"/>
                        <wps:cNvSpPr>
                          <a:spLocks noChangeArrowheads="1"/>
                        </wps:cNvSpPr>
                        <wps:spPr bwMode="auto">
                          <a:xfrm>
                            <a:off x="280670" y="35560"/>
                            <a:ext cx="104267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982" w:rsidRPr="00C30982" w:rsidRDefault="00C30982">
                              <w:pPr>
                                <w:rPr>
                                  <w:lang w:val="en-GB"/>
                                </w:rPr>
                              </w:pPr>
                              <w:r w:rsidRPr="00C30982">
                                <w:rPr>
                                  <w:rFonts w:ascii="Trebuchet MS" w:hAnsi="Trebuchet MS" w:cs="Trebuchet MS"/>
                                  <w:color w:val="000000"/>
                                  <w:sz w:val="14"/>
                                  <w:szCs w:val="14"/>
                                  <w:lang w:val="en-GB"/>
                                </w:rPr>
                                <w:t>Dutch Data Protection Act</w:t>
                              </w:r>
                            </w:p>
                          </w:txbxContent>
                        </wps:txbx>
                        <wps:bodyPr rot="0" vert="horz" wrap="none" lIns="0" tIns="0" rIns="0" bIns="0" anchor="t" anchorCtr="0" upright="1">
                          <a:spAutoFit/>
                        </wps:bodyPr>
                      </wps:wsp>
                      <wps:wsp>
                        <wps:cNvPr id="12" name="Rectangle 18"/>
                        <wps:cNvSpPr>
                          <a:spLocks noChangeArrowheads="1"/>
                        </wps:cNvSpPr>
                        <wps:spPr bwMode="auto">
                          <a:xfrm>
                            <a:off x="918845" y="1952625"/>
                            <a:ext cx="6032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982" w:rsidRPr="00C30982" w:rsidRDefault="00C30982" w:rsidP="00C30982"/>
                          </w:txbxContent>
                        </wps:txbx>
                        <wps:bodyPr rot="0" vert="horz" wrap="none" lIns="0" tIns="0" rIns="0" bIns="0" anchor="t" anchorCtr="0" upright="1">
                          <a:spAutoFit/>
                        </wps:bodyPr>
                      </wps:wsp>
                      <wps:wsp>
                        <wps:cNvPr id="13" name="Rectangle 19"/>
                        <wps:cNvSpPr>
                          <a:spLocks noChangeArrowheads="1"/>
                        </wps:cNvSpPr>
                        <wps:spPr bwMode="auto">
                          <a:xfrm>
                            <a:off x="678180" y="1761490"/>
                            <a:ext cx="14287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982" w:rsidRPr="00C30982" w:rsidRDefault="00C30982">
                              <w:pPr>
                                <w:rPr>
                                  <w:lang w:val="en-GB"/>
                                </w:rPr>
                              </w:pPr>
                              <w:r w:rsidRPr="00C30982">
                                <w:rPr>
                                  <w:rFonts w:ascii="Trebuchet MS" w:hAnsi="Trebuchet MS" w:cs="Trebuchet MS"/>
                                  <w:color w:val="000000"/>
                                  <w:sz w:val="14"/>
                                  <w:szCs w:val="14"/>
                                  <w:lang w:val="en-GB"/>
                                </w:rPr>
                                <w:t>§ 4.3 EU Data Protection Regulation</w:t>
                              </w:r>
                            </w:p>
                          </w:txbxContent>
                        </wps:txbx>
                        <wps:bodyPr rot="0" vert="horz" wrap="none" lIns="0" tIns="0" rIns="0" bIns="0" anchor="t" anchorCtr="0" upright="1">
                          <a:spAutoFit/>
                        </wps:bodyPr>
                      </wps:wsp>
                      <wps:wsp>
                        <wps:cNvPr id="14" name="Rectangle 20"/>
                        <wps:cNvSpPr>
                          <a:spLocks noChangeArrowheads="1"/>
                        </wps:cNvSpPr>
                        <wps:spPr bwMode="auto">
                          <a:xfrm>
                            <a:off x="970915" y="986155"/>
                            <a:ext cx="4064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982" w:rsidRDefault="00C30982">
                              <w:r>
                                <w:rPr>
                                  <w:rFonts w:ascii="Trebuchet MS" w:hAnsi="Trebuchet MS" w:cs="Trebuchet MS"/>
                                  <w:color w:val="000000"/>
                                  <w:sz w:val="14"/>
                                  <w:szCs w:val="14"/>
                                  <w:lang w:val="en-US"/>
                                </w:rPr>
                                <w:t>§</w:t>
                              </w:r>
                            </w:p>
                          </w:txbxContent>
                        </wps:txbx>
                        <wps:bodyPr rot="0" vert="horz" wrap="none" lIns="0" tIns="0" rIns="0" bIns="0" anchor="t" anchorCtr="0" upright="1">
                          <a:spAutoFit/>
                        </wps:bodyPr>
                      </wps:wsp>
                      <wps:wsp>
                        <wps:cNvPr id="15" name="Rectangle 21"/>
                        <wps:cNvSpPr>
                          <a:spLocks noChangeArrowheads="1"/>
                        </wps:cNvSpPr>
                        <wps:spPr bwMode="auto">
                          <a:xfrm>
                            <a:off x="1039495" y="986155"/>
                            <a:ext cx="12636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982" w:rsidRDefault="00C30982">
                              <w:r>
                                <w:rPr>
                                  <w:rFonts w:ascii="Trebuchet MS" w:hAnsi="Trebuchet MS" w:cs="Trebuchet MS"/>
                                  <w:color w:val="000000"/>
                                  <w:sz w:val="14"/>
                                  <w:szCs w:val="14"/>
                                  <w:lang w:val="en-US"/>
                                </w:rPr>
                                <w:t>4.1</w:t>
                              </w:r>
                            </w:p>
                          </w:txbxContent>
                        </wps:txbx>
                        <wps:bodyPr rot="0" vert="horz" wrap="none" lIns="0" tIns="0" rIns="0" bIns="0" anchor="t" anchorCtr="0" upright="1">
                          <a:spAutoFit/>
                        </wps:bodyPr>
                      </wps:wsp>
                    </wpc:wpc>
                  </a:graphicData>
                </a:graphic>
              </wp:inline>
            </w:drawing>
          </mc:Choice>
          <mc:Fallback>
            <w:pict>
              <v:group id="Zeichenbereich 8" o:spid="_x0000_s1029" editas="canvas" style="width:187.4pt;height:173.7pt;mso-position-horizontal-relative:char;mso-position-vertical-relative:line" coordsize="23799,2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23799;height:22059;visibility:visible;mso-wrap-style:square">
                  <v:fill o:detectmouseclick="t"/>
                  <v:path o:connecttype="none"/>
                </v:shape>
                <v:rect id="Rectangle 9" o:spid="_x0000_s1031" style="position:absolute;left:82;top:82;width:16859;height:16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RC+sAA&#10;AADaAAAADwAAAGRycy9kb3ducmV2LnhtbERPS4vCMBC+C/6HMII3myoo0jUVUYS9yOKL9Tg008du&#10;MylNVuv+eiMInoaP7zmLZWdqcaXWVZYVjKMYBHFmdcWFgtNxO5qDcB5ZY22ZFNzJwTLt9xaYaHvj&#10;PV0PvhAhhF2CCkrvm0RKl5Vk0EW2IQ5cbluDPsC2kLrFWwg3tZzE8UwarDg0lNjQuqTs9/BnFOym&#10;X/8bTzK//FSX3ffpfja83io1HHSrDxCeOv8Wv9yfOsyH5yvPK9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RC+sAAAADaAAAADwAAAAAAAAAAAAAAAACYAgAAZHJzL2Rvd25y&#10;ZXYueG1sUEsFBgAAAAAEAAQA9QAAAIUDAAAAAA==&#10;" fillcolor="#f8f200" stroked="f"/>
                <v:shape id="Freeform 10" o:spid="_x0000_s1032" style="position:absolute;width:17024;height:16573;visibility:visible;mso-wrap-style:square;v-text-anchor:top" coordsize="4768,4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g9tb0A&#10;AADaAAAADwAAAGRycy9kb3ducmV2LnhtbERPy4rCMBTdC/5DuII7m1pwkGoUFQZ06WMG3V2aa1ts&#10;bjpJ1M7fTwYEl4fzni8704gHOV9bVjBOUhDEhdU1lwpOx8/RFIQPyBoby6TglzwsF/3eHHNtn7yn&#10;xyGUIoawz1FBFUKbS+mLigz6xLbEkbtaZzBE6EqpHT5juGlklqYf0mDNsaHCljYVFbfD3cQZzu7O&#10;2cQcf9a7sL0QN98X/aXUcNCtZiACdeEtfrm3WkEG/1eiH+Ti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3g9tb0AAADaAAAADwAAAAAAAAAAAAAAAACYAgAAZHJzL2Rvd25yZXYu&#10;eG1sUEsFBgAAAAAEAAQA9QAAAIIDAAAAAA==&#10;" path="m,24c,11,11,,24,l4744,v14,,24,11,24,24l4768,4616v,14,-10,24,-24,24l24,4640c11,4640,,4630,,4616l,24xm48,4616l24,4592r4720,l4720,4616r,-4592l4744,48,24,48,48,24r,4592xe" fillcolor="black" strokeweight=".05pt">
                  <v:path arrowok="t" o:connecttype="custom" o:connectlocs="0,8573;8569,0;1693866,0;1702435,8573;1702435,1648778;1693866,1657350;8569,1657350;0,1648778;0,8573;17139,1648778;8569,1640205;1693866,1640205;1685296,1648778;1685296,8573;1693866,17145;8569,17145;17139,8573;17139,1648778" o:connectangles="0,0,0,0,0,0,0,0,0,0,0,0,0,0,0,0,0,0"/>
                  <o:lock v:ext="edit" verticies="t"/>
                </v:shape>
                <v:rect id="Rectangle 11" o:spid="_x0000_s1033" style="position:absolute;left:4425;top:4425;width:16860;height:16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5XIMIA&#10;AADaAAAADwAAAGRycy9kb3ducmV2LnhtbESPQWvCQBSE70L/w/IKvYhuqqISXaUKrV5rK3h8ZJ9J&#10;NPs27G6T+O9dQehxmJlvmOW6M5VoyPnSsoL3YQKCOLO65FzB78/nYA7CB2SNlWVScCMP69VLb4mp&#10;ti1/U3MIuYgQ9ikqKEKoUyl9VpBBP7Q1cfTO1hkMUbpcaodthJtKjpJkKg2WHBcKrGlbUHY9/BkF&#10;m7mfXM7904yOX822zRzml91UqbfX7mMBIlAX/sPP9l4rGMPjSrw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lcgwgAAANoAAAAPAAAAAAAAAAAAAAAAAJgCAABkcnMvZG93&#10;bnJldi54bWxQSwUGAAAAAAQABAD1AAAAhwMAAAAA&#10;" fillcolor="#b9cde5" stroked="f"/>
                <v:shape id="Freeform 12" o:spid="_x0000_s1034" style="position:absolute;left:4337;top:4343;width:17030;height:16573;visibility:visible;mso-wrap-style:square;v-text-anchor:top" coordsize="4768,4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lwb0A&#10;AADaAAAADwAAAGRycy9kb3ducmV2LnhtbERPy4rCMBTdD/gP4QqzG1MFRWpTUUHQ5fhCd5fm2hab&#10;m5pE7fz9RBiY5eG8s3lnGvEk52vLCoaDBARxYXXNpYLDfv01BeEDssbGMin4IQ/zvPeRYarti7/p&#10;uQuliCHsU1RQhdCmUvqiIoN+YFviyF2tMxgidKXUDl8x3DRylCQTabDm2FBhS6uKitvuYeIMZ7fn&#10;0djs78tt2FyIm9NFH5X67HeLGYhAXfgX/7k3WsEY3leiH2T+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JGlwb0AAADaAAAADwAAAAAAAAAAAAAAAACYAgAAZHJzL2Rvd25yZXYu&#10;eG1sUEsFBgAAAAAEAAQA9QAAAIIDAAAAAA==&#10;" path="m,24c,11,11,,24,l4744,v14,,24,11,24,24l4768,4616v,14,-10,24,-24,24l24,4640c11,4640,,4630,,4616l,24xm48,4616l24,4592r4720,l4720,4616r,-4592l4744,48,24,48,48,24r,4592xe" fillcolor="black" strokeweight=".05pt">
                  <v:path arrowok="t" o:connecttype="custom" o:connectlocs="0,8573;8573,0;1694498,0;1703070,8573;1703070,1648778;1694498,1657350;8573,1657350;0,1648778;0,8573;17145,1648778;8573,1640205;1694498,1640205;1685925,1648778;1685925,8573;1694498,17145;8573,17145;17145,8573;17145,1648778" o:connectangles="0,0,0,0,0,0,0,0,0,0,0,0,0,0,0,0,0,0"/>
                  <o:lock v:ext="edit" verticies="t"/>
                </v:shape>
                <v:rect id="Rectangle 13" o:spid="_x0000_s1035" style="position:absolute;left:4425;top:4425;width:12516;height:12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eCcIA&#10;AADaAAAADwAAAGRycy9kb3ducmV2LnhtbESP0WrCQBRE3wv+w3KFvtWNlYhEV1GLxUIFa/2AS/aa&#10;BLN3w+4ak7/vCkIfh5k5wyxWnalFS85XlhWMRwkI4tzqigsF59/d2wyED8gaa8ukoCcPq+XgZYGZ&#10;tnf+ofYUChEh7DNUUIbQZFL6vCSDfmQb4uhdrDMYonSF1A7vEW5q+Z4kU2mw4rhQYkPbkvLr6WYU&#10;8J6/P6/jPk0n/LGhw7Fpcfel1OuwW89BBOrCf/jZ3msFU3hci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4B4JwgAAANoAAAAPAAAAAAAAAAAAAAAAAJgCAABkcnMvZG93&#10;bnJldi54bWxQSwUGAAAAAAQABAD1AAAAhwMAAAAA&#10;" fillcolor="#6f6" stroked="f"/>
                <v:shape id="Freeform 14" o:spid="_x0000_s1036" style="position:absolute;left:4337;top:4343;width:12687;height:12230;visibility:visible;mso-wrap-style:square;v-text-anchor:top" coordsize="3552,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1oacAA&#10;AADaAAAADwAAAGRycy9kb3ducmV2LnhtbERPy2rCQBTdF/yH4Qru6iRdiI0ZRYWWbkp9JetL5pqE&#10;ZO6EzETTfr2zELo8nHe6GU0rbtS72rKCeB6BIC6srrlUcDl/vC5BOI+ssbVMCn7JwWY9eUkx0fbO&#10;R7qdfClCCLsEFVTed4mUrqjIoJvbjjhwV9sb9AH2pdQ93kO4aeVbFC2kwZpDQ4Ud7SsqmtNgFOz+&#10;uiz7kVk+0OH7OGaf8XvexErNpuN2BcLT6P/FT/eXVhC2hivhBs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1oacAAAADaAAAADwAAAAAAAAAAAAAAAACYAgAAZHJzL2Rvd25y&#10;ZXYueG1sUEsFBgAAAAAEAAQA9QAAAIUDAAAAAA==&#10;" path="m,24c,11,11,,24,l3528,v14,,24,11,24,24l3552,3400v,14,-10,24,-24,24l24,3424c11,3424,,3414,,3400l,24xm48,3400l24,3376r3504,l3504,3400r,-3376l3528,48,24,48,48,24r,3376xe" fillcolor="black" strokeweight=".05pt">
                  <v:path arrowok="t" o:connecttype="custom" o:connectlocs="0,8573;8573,0;1260158,0;1268730,8573;1268730,1214438;1260158,1223010;8573,1223010;0,1214438;0,8573;17145,1214438;8573,1205865;1260158,1205865;1251585,1214438;1251585,8573;1260158,17145;8573,17145;17145,8573;17145,1214438" o:connectangles="0,0,0,0,0,0,0,0,0,0,0,0,0,0,0,0,0,0"/>
                  <o:lock v:ext="edit" verticies="t"/>
                </v:shape>
                <v:rect id="Rectangle 15" o:spid="_x0000_s1037" style="position:absolute;left:641;top:355;width:406;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C30982" w:rsidRDefault="00C30982">
                        <w:r>
                          <w:rPr>
                            <w:rFonts w:ascii="Trebuchet MS" w:hAnsi="Trebuchet MS" w:cs="Trebuchet MS"/>
                            <w:color w:val="000000"/>
                            <w:sz w:val="14"/>
                            <w:szCs w:val="14"/>
                            <w:lang w:val="en-US"/>
                          </w:rPr>
                          <w:t>§</w:t>
                        </w:r>
                      </w:p>
                    </w:txbxContent>
                  </v:textbox>
                </v:rect>
                <v:rect id="Rectangle 16" o:spid="_x0000_s1038" style="position:absolute;left:1320;top:355;width:1264;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C30982" w:rsidRDefault="00C30982">
                        <w:r>
                          <w:rPr>
                            <w:rFonts w:ascii="Trebuchet MS" w:hAnsi="Trebuchet MS" w:cs="Trebuchet MS"/>
                            <w:color w:val="000000"/>
                            <w:sz w:val="14"/>
                            <w:szCs w:val="14"/>
                            <w:lang w:val="en-US"/>
                          </w:rPr>
                          <w:t xml:space="preserve">4.2 </w:t>
                        </w:r>
                      </w:p>
                    </w:txbxContent>
                  </v:textbox>
                </v:rect>
                <v:rect id="Rectangle 17" o:spid="_x0000_s1039" style="position:absolute;left:2806;top:355;width:10427;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C30982" w:rsidRPr="00C30982" w:rsidRDefault="00C30982">
                        <w:pPr>
                          <w:rPr>
                            <w:lang w:val="en-GB"/>
                          </w:rPr>
                        </w:pPr>
                        <w:r w:rsidRPr="00C30982">
                          <w:rPr>
                            <w:rFonts w:ascii="Trebuchet MS" w:hAnsi="Trebuchet MS" w:cs="Trebuchet MS"/>
                            <w:color w:val="000000"/>
                            <w:sz w:val="14"/>
                            <w:szCs w:val="14"/>
                            <w:lang w:val="en-GB"/>
                          </w:rPr>
                          <w:t>Dutch Data Protection Act</w:t>
                        </w:r>
                      </w:p>
                    </w:txbxContent>
                  </v:textbox>
                </v:rect>
                <v:rect id="Rectangle 18" o:spid="_x0000_s1040" style="position:absolute;left:9188;top:19526;width:603;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C30982" w:rsidRPr="00C30982" w:rsidRDefault="00C30982" w:rsidP="00C30982"/>
                    </w:txbxContent>
                  </v:textbox>
                </v:rect>
                <v:rect id="Rectangle 19" o:spid="_x0000_s1041" style="position:absolute;left:6781;top:17614;width:14288;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C30982" w:rsidRPr="00C30982" w:rsidRDefault="00C30982">
                        <w:pPr>
                          <w:rPr>
                            <w:lang w:val="en-GB"/>
                          </w:rPr>
                        </w:pPr>
                        <w:r w:rsidRPr="00C30982">
                          <w:rPr>
                            <w:rFonts w:ascii="Trebuchet MS" w:hAnsi="Trebuchet MS" w:cs="Trebuchet MS"/>
                            <w:color w:val="000000"/>
                            <w:sz w:val="14"/>
                            <w:szCs w:val="14"/>
                            <w:lang w:val="en-GB"/>
                          </w:rPr>
                          <w:t>§ 4.3 EU Data Protection Regulation</w:t>
                        </w:r>
                      </w:p>
                    </w:txbxContent>
                  </v:textbox>
                </v:rect>
                <v:rect id="Rectangle 20" o:spid="_x0000_s1042" style="position:absolute;left:9709;top:9861;width:406;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C30982" w:rsidRDefault="00C30982">
                        <w:r>
                          <w:rPr>
                            <w:rFonts w:ascii="Trebuchet MS" w:hAnsi="Trebuchet MS" w:cs="Trebuchet MS"/>
                            <w:color w:val="000000"/>
                            <w:sz w:val="14"/>
                            <w:szCs w:val="14"/>
                            <w:lang w:val="en-US"/>
                          </w:rPr>
                          <w:t>§</w:t>
                        </w:r>
                      </w:p>
                    </w:txbxContent>
                  </v:textbox>
                </v:rect>
                <v:rect id="Rectangle 21" o:spid="_x0000_s1043" style="position:absolute;left:10394;top:9861;width:1264;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C30982" w:rsidRDefault="00C30982">
                        <w:r>
                          <w:rPr>
                            <w:rFonts w:ascii="Trebuchet MS" w:hAnsi="Trebuchet MS" w:cs="Trebuchet MS"/>
                            <w:color w:val="000000"/>
                            <w:sz w:val="14"/>
                            <w:szCs w:val="14"/>
                            <w:lang w:val="en-US"/>
                          </w:rPr>
                          <w:t>4.1</w:t>
                        </w:r>
                      </w:p>
                    </w:txbxContent>
                  </v:textbox>
                </v:rect>
                <w10:anchorlock/>
              </v:group>
            </w:pict>
          </mc:Fallback>
        </mc:AlternateContent>
      </w:r>
    </w:p>
    <w:p w:rsidR="002E512B" w:rsidRPr="00044E23" w:rsidRDefault="002E512B" w:rsidP="002E512B">
      <w:pPr>
        <w:pStyle w:val="Beschriftung"/>
        <w:pBdr>
          <w:top w:val="single" w:sz="4" w:space="1" w:color="auto"/>
        </w:pBdr>
        <w:spacing w:line="260" w:lineRule="atLeast"/>
        <w:rPr>
          <w:lang w:val="en-GB"/>
        </w:rPr>
      </w:pPr>
      <w:r w:rsidRPr="00044E23">
        <w:rPr>
          <w:b/>
          <w:lang w:val="en-GB"/>
        </w:rPr>
        <w:t xml:space="preserve">Figure </w:t>
      </w:r>
      <w:r w:rsidR="00772565" w:rsidRPr="00044E23">
        <w:rPr>
          <w:b/>
          <w:lang w:val="en-GB"/>
        </w:rPr>
        <w:fldChar w:fldCharType="begin"/>
      </w:r>
      <w:r w:rsidRPr="00044E23">
        <w:rPr>
          <w:b/>
          <w:lang w:val="en-GB"/>
        </w:rPr>
        <w:instrText xml:space="preserve"> SEQ Figuur \* ARABIC </w:instrText>
      </w:r>
      <w:r w:rsidR="00772565" w:rsidRPr="00044E23">
        <w:rPr>
          <w:b/>
          <w:lang w:val="en-GB"/>
        </w:rPr>
        <w:fldChar w:fldCharType="separate"/>
      </w:r>
      <w:r w:rsidR="009D7741" w:rsidRPr="00044E23">
        <w:rPr>
          <w:b/>
          <w:lang w:val="en-GB"/>
        </w:rPr>
        <w:t>1</w:t>
      </w:r>
      <w:r w:rsidR="00772565" w:rsidRPr="00044E23">
        <w:rPr>
          <w:b/>
          <w:lang w:val="en-GB"/>
        </w:rPr>
        <w:fldChar w:fldCharType="end"/>
      </w:r>
      <w:r w:rsidRPr="00044E23">
        <w:rPr>
          <w:b/>
          <w:lang w:val="en-GB"/>
        </w:rPr>
        <w:t>.</w:t>
      </w:r>
      <w:r w:rsidRPr="00044E23">
        <w:rPr>
          <w:lang w:val="en-GB"/>
        </w:rPr>
        <w:t xml:space="preserve"> Relationship between the obligations in the current and in the proposed situation.</w:t>
      </w:r>
    </w:p>
    <w:p w:rsidR="002E512B" w:rsidRPr="00044E23" w:rsidRDefault="002E512B" w:rsidP="002E512B">
      <w:pPr>
        <w:rPr>
          <w:lang w:val="en-GB"/>
        </w:rPr>
      </w:pPr>
    </w:p>
    <w:p w:rsidR="002E512B" w:rsidRPr="00044E23" w:rsidRDefault="002E512B" w:rsidP="002E512B">
      <w:pPr>
        <w:rPr>
          <w:lang w:val="en-GB"/>
        </w:rPr>
      </w:pPr>
      <w:r w:rsidRPr="00044E23">
        <w:rPr>
          <w:lang w:val="en-GB"/>
        </w:rPr>
        <w:t>There are three relevant categories that can be identified:</w:t>
      </w:r>
    </w:p>
    <w:p w:rsidR="002E512B" w:rsidRPr="00044E23" w:rsidRDefault="002E512B" w:rsidP="002E512B">
      <w:pPr>
        <w:pStyle w:val="Listenabsatz"/>
        <w:numPr>
          <w:ilvl w:val="0"/>
          <w:numId w:val="19"/>
        </w:numPr>
        <w:ind w:left="357" w:hanging="357"/>
        <w:rPr>
          <w:lang w:val="en-GB"/>
        </w:rPr>
      </w:pPr>
      <w:r w:rsidRPr="00044E23">
        <w:rPr>
          <w:lang w:val="en-GB"/>
        </w:rPr>
        <w:t>Obligations that apply under the Dutch Data Protection Act and under the Data Protection Regulation (green).</w:t>
      </w:r>
    </w:p>
    <w:p w:rsidR="002E512B" w:rsidRPr="00044E23" w:rsidRDefault="002E512B" w:rsidP="002E512B">
      <w:pPr>
        <w:pStyle w:val="Listenabsatz"/>
        <w:numPr>
          <w:ilvl w:val="0"/>
          <w:numId w:val="19"/>
        </w:numPr>
        <w:ind w:left="357" w:hanging="357"/>
        <w:rPr>
          <w:lang w:val="en-GB"/>
        </w:rPr>
      </w:pPr>
      <w:r w:rsidRPr="00044E23">
        <w:rPr>
          <w:lang w:val="en-GB"/>
        </w:rPr>
        <w:t>Obligations that only apply under the Dutch Data Protection Act (yellow).</w:t>
      </w:r>
    </w:p>
    <w:p w:rsidR="002E512B" w:rsidRPr="00044E23" w:rsidRDefault="002E512B" w:rsidP="002E512B">
      <w:pPr>
        <w:pStyle w:val="Listenabsatz"/>
        <w:numPr>
          <w:ilvl w:val="0"/>
          <w:numId w:val="19"/>
        </w:numPr>
        <w:ind w:left="357" w:hanging="357"/>
        <w:rPr>
          <w:lang w:val="en-GB"/>
        </w:rPr>
      </w:pPr>
      <w:r w:rsidRPr="00044E23">
        <w:rPr>
          <w:lang w:val="en-GB"/>
        </w:rPr>
        <w:t>Obligations that only apply under the Data Protection Regulation.</w:t>
      </w:r>
    </w:p>
    <w:p w:rsidR="00F43AD2" w:rsidRPr="00044E23" w:rsidRDefault="002E512B" w:rsidP="002E512B">
      <w:pPr>
        <w:rPr>
          <w:lang w:val="en-GB"/>
        </w:rPr>
      </w:pPr>
      <w:r w:rsidRPr="00044E23">
        <w:rPr>
          <w:lang w:val="en-GB"/>
        </w:rPr>
        <w:t>In each category, the obligations are subdivided into information obligations and other obligations. Information obligations give rise to AB, while other obligations give rise to CC.</w:t>
      </w:r>
    </w:p>
    <w:p w:rsidR="00811DCB" w:rsidRPr="00044E23" w:rsidRDefault="00811DCB">
      <w:pPr>
        <w:ind w:left="-851"/>
        <w:jc w:val="left"/>
        <w:rPr>
          <w:rFonts w:eastAsiaTheme="majorEastAsia" w:cstheme="majorBidi"/>
          <w:b/>
          <w:bCs/>
          <w:color w:val="000080"/>
          <w:sz w:val="24"/>
          <w:szCs w:val="26"/>
          <w:lang w:val="en-GB"/>
        </w:rPr>
      </w:pPr>
      <w:r w:rsidRPr="00044E23">
        <w:rPr>
          <w:lang w:val="en-GB"/>
        </w:rPr>
        <w:br w:type="page"/>
      </w:r>
    </w:p>
    <w:p w:rsidR="00E043D4" w:rsidRPr="00044E23" w:rsidRDefault="00F43AD2" w:rsidP="00E043D4">
      <w:pPr>
        <w:pStyle w:val="berschrift2"/>
        <w:rPr>
          <w:lang w:val="en-GB"/>
        </w:rPr>
      </w:pPr>
      <w:bookmarkStart w:id="8" w:name="_Toc360101911"/>
      <w:r w:rsidRPr="00044E23">
        <w:rPr>
          <w:lang w:val="en-GB"/>
        </w:rPr>
        <w:t>Obligations that apply in the current and in the proposed situation</w:t>
      </w:r>
      <w:bookmarkEnd w:id="8"/>
    </w:p>
    <w:p w:rsidR="00D1208F" w:rsidRPr="00044E23" w:rsidRDefault="00BA54ED" w:rsidP="00D1208F">
      <w:pPr>
        <w:rPr>
          <w:lang w:val="en-GB"/>
        </w:rPr>
      </w:pPr>
      <w:r w:rsidRPr="00044E23">
        <w:rPr>
          <w:lang w:val="en-GB"/>
        </w:rPr>
        <w:t>This section describes the obligations that apply under the current Dutch Data Protection Act (Wet bescherming persoonsgegevens, "DDPA") and under the proposed European Data Protection Regulation ("EDPR"). Businesses already have to comply with obligations in the current regime that more or less correspond with obligations in the proposed Regulation. Some obligations are completely unchanged in the proposed Regulation, while others are slightly changed. Where necessary, an explanation is provided for each obligation. The explanation includes:</w:t>
      </w:r>
    </w:p>
    <w:p w:rsidR="00D1208F" w:rsidRPr="00044E23" w:rsidRDefault="00D1208F" w:rsidP="00D1208F">
      <w:pPr>
        <w:pStyle w:val="Listenabsatz"/>
        <w:numPr>
          <w:ilvl w:val="0"/>
          <w:numId w:val="20"/>
        </w:numPr>
        <w:ind w:left="357" w:hanging="357"/>
        <w:rPr>
          <w:lang w:val="en-GB"/>
        </w:rPr>
      </w:pPr>
      <w:r w:rsidRPr="00044E23">
        <w:rPr>
          <w:lang w:val="en-GB"/>
        </w:rPr>
        <w:t>A description of the change to the obligation, where it appears in the Regulation in a modified form.</w:t>
      </w:r>
    </w:p>
    <w:p w:rsidR="00D1208F" w:rsidRPr="00044E23" w:rsidRDefault="00D1208F" w:rsidP="00D1208F">
      <w:pPr>
        <w:pStyle w:val="Listenabsatz"/>
        <w:numPr>
          <w:ilvl w:val="0"/>
          <w:numId w:val="20"/>
        </w:numPr>
        <w:ind w:left="357" w:hanging="357"/>
        <w:rPr>
          <w:lang w:val="en-GB"/>
        </w:rPr>
      </w:pPr>
      <w:r w:rsidRPr="00044E23">
        <w:rPr>
          <w:lang w:val="en-GB"/>
        </w:rPr>
        <w:t>Where relevant, the fact that the obligation could not be quantified.</w:t>
      </w:r>
    </w:p>
    <w:p w:rsidR="00D1208F" w:rsidRPr="00044E23" w:rsidRDefault="00D1208F" w:rsidP="00D1208F">
      <w:pPr>
        <w:pStyle w:val="Listenabsatz"/>
        <w:numPr>
          <w:ilvl w:val="0"/>
          <w:numId w:val="20"/>
        </w:numPr>
        <w:ind w:left="357" w:hanging="357"/>
        <w:rPr>
          <w:lang w:val="en-GB"/>
        </w:rPr>
      </w:pPr>
      <w:r w:rsidRPr="00044E23">
        <w:rPr>
          <w:lang w:val="en-GB"/>
        </w:rPr>
        <w:t>The assumptions that had to be made to quantify the obligation.</w:t>
      </w:r>
    </w:p>
    <w:p w:rsidR="00F43AD2" w:rsidRPr="00044E23" w:rsidRDefault="00F43AD2" w:rsidP="00033B19">
      <w:pPr>
        <w:pStyle w:val="berschrift4"/>
        <w:rPr>
          <w:lang w:val="en-GB"/>
        </w:rPr>
      </w:pPr>
      <w:r w:rsidRPr="00044E23">
        <w:rPr>
          <w:lang w:val="en-GB"/>
        </w:rPr>
        <w:t>Information o</w:t>
      </w:r>
      <w:r w:rsidR="00C30982" w:rsidRPr="00044E23">
        <w:rPr>
          <w:lang w:val="en-GB"/>
        </w:rPr>
        <w:t>bligations that give rise to AB</w:t>
      </w:r>
    </w:p>
    <w:p w:rsidR="00811DCB" w:rsidRPr="00044E23" w:rsidRDefault="00811DCB" w:rsidP="00811DCB">
      <w:pPr>
        <w:rPr>
          <w:lang w:val="en-GB"/>
        </w:rPr>
      </w:pPr>
    </w:p>
    <w:tbl>
      <w:tblPr>
        <w:tblStyle w:val="Tabellenraster"/>
        <w:tblW w:w="8364" w:type="dxa"/>
        <w:tblInd w:w="108" w:type="dxa"/>
        <w:tblLook w:val="04A0" w:firstRow="1" w:lastRow="0" w:firstColumn="1" w:lastColumn="0" w:noHBand="0" w:noVBand="1"/>
      </w:tblPr>
      <w:tblGrid>
        <w:gridCol w:w="495"/>
        <w:gridCol w:w="3741"/>
        <w:gridCol w:w="511"/>
        <w:gridCol w:w="3617"/>
      </w:tblGrid>
      <w:tr w:rsidR="00F10CF8" w:rsidRPr="00044E23" w:rsidTr="00CA4165">
        <w:tc>
          <w:tcPr>
            <w:tcW w:w="495" w:type="dxa"/>
            <w:shd w:val="clear" w:color="auto" w:fill="66FF66"/>
          </w:tcPr>
          <w:p w:rsidR="00F10CF8" w:rsidRPr="00044E23" w:rsidRDefault="00F10CF8" w:rsidP="00F20BCF">
            <w:pPr>
              <w:rPr>
                <w:sz w:val="16"/>
                <w:szCs w:val="16"/>
                <w:lang w:val="en-GB"/>
              </w:rPr>
            </w:pPr>
            <w:r w:rsidRPr="00044E23">
              <w:rPr>
                <w:sz w:val="16"/>
                <w:szCs w:val="16"/>
                <w:lang w:val="en-GB"/>
              </w:rPr>
              <w:t>Art.</w:t>
            </w:r>
          </w:p>
        </w:tc>
        <w:tc>
          <w:tcPr>
            <w:tcW w:w="3741" w:type="dxa"/>
            <w:shd w:val="clear" w:color="auto" w:fill="66FF66"/>
          </w:tcPr>
          <w:p w:rsidR="00F10CF8" w:rsidRPr="00044E23" w:rsidRDefault="00F10CF8" w:rsidP="00F20BCF">
            <w:pPr>
              <w:rPr>
                <w:sz w:val="16"/>
                <w:szCs w:val="16"/>
                <w:lang w:val="en-GB"/>
              </w:rPr>
            </w:pPr>
            <w:r w:rsidRPr="00044E23">
              <w:rPr>
                <w:sz w:val="16"/>
                <w:szCs w:val="16"/>
                <w:lang w:val="en-GB"/>
              </w:rPr>
              <w:t>Obligation under DDPA</w:t>
            </w:r>
          </w:p>
        </w:tc>
        <w:tc>
          <w:tcPr>
            <w:tcW w:w="511" w:type="dxa"/>
            <w:shd w:val="clear" w:color="auto" w:fill="66FF66"/>
          </w:tcPr>
          <w:p w:rsidR="00F10CF8" w:rsidRPr="00044E23" w:rsidRDefault="00F10CF8" w:rsidP="00F20BCF">
            <w:pPr>
              <w:rPr>
                <w:sz w:val="16"/>
                <w:szCs w:val="16"/>
                <w:lang w:val="en-GB"/>
              </w:rPr>
            </w:pPr>
            <w:r w:rsidRPr="00044E23">
              <w:rPr>
                <w:sz w:val="16"/>
                <w:szCs w:val="16"/>
                <w:lang w:val="en-GB"/>
              </w:rPr>
              <w:t>Art.</w:t>
            </w:r>
          </w:p>
        </w:tc>
        <w:tc>
          <w:tcPr>
            <w:tcW w:w="3617" w:type="dxa"/>
            <w:shd w:val="clear" w:color="auto" w:fill="66FF66"/>
          </w:tcPr>
          <w:p w:rsidR="00F10CF8" w:rsidRPr="00044E23" w:rsidRDefault="00F10CF8" w:rsidP="00F20BCF">
            <w:pPr>
              <w:rPr>
                <w:sz w:val="16"/>
                <w:szCs w:val="16"/>
                <w:lang w:val="en-GB"/>
              </w:rPr>
            </w:pPr>
            <w:r w:rsidRPr="00044E23">
              <w:rPr>
                <w:sz w:val="16"/>
                <w:szCs w:val="16"/>
                <w:lang w:val="en-GB"/>
              </w:rPr>
              <w:t>Obligation under EDPR</w:t>
            </w:r>
          </w:p>
        </w:tc>
      </w:tr>
      <w:tr w:rsidR="00F10CF8" w:rsidRPr="00044E23" w:rsidTr="00CA4165">
        <w:tc>
          <w:tcPr>
            <w:tcW w:w="495" w:type="dxa"/>
          </w:tcPr>
          <w:p w:rsidR="00F10CF8" w:rsidRPr="00044E23" w:rsidRDefault="00F10CF8" w:rsidP="00F20BCF">
            <w:pPr>
              <w:rPr>
                <w:sz w:val="16"/>
                <w:szCs w:val="16"/>
                <w:lang w:val="en-GB"/>
              </w:rPr>
            </w:pPr>
            <w:r w:rsidRPr="00044E23">
              <w:rPr>
                <w:sz w:val="16"/>
                <w:szCs w:val="16"/>
                <w:lang w:val="en-GB"/>
              </w:rPr>
              <w:t>23</w:t>
            </w:r>
          </w:p>
        </w:tc>
        <w:tc>
          <w:tcPr>
            <w:tcW w:w="3741" w:type="dxa"/>
          </w:tcPr>
          <w:p w:rsidR="00F10CF8" w:rsidRPr="00044E23" w:rsidRDefault="00F10CF8" w:rsidP="00F20BCF">
            <w:pPr>
              <w:rPr>
                <w:sz w:val="16"/>
                <w:szCs w:val="16"/>
                <w:lang w:val="en-GB"/>
              </w:rPr>
            </w:pPr>
            <w:r w:rsidRPr="00044E23">
              <w:rPr>
                <w:sz w:val="16"/>
                <w:szCs w:val="16"/>
                <w:lang w:val="en-GB"/>
              </w:rPr>
              <w:t>Request for exception from the prohibition on processing personal data under Article 16</w:t>
            </w:r>
          </w:p>
        </w:tc>
        <w:tc>
          <w:tcPr>
            <w:tcW w:w="511" w:type="dxa"/>
          </w:tcPr>
          <w:p w:rsidR="00F10CF8" w:rsidRPr="00044E23" w:rsidRDefault="00F10CF8" w:rsidP="00F20BCF">
            <w:pPr>
              <w:rPr>
                <w:sz w:val="16"/>
                <w:szCs w:val="16"/>
                <w:lang w:val="en-GB"/>
              </w:rPr>
            </w:pPr>
            <w:r w:rsidRPr="00044E23">
              <w:rPr>
                <w:sz w:val="16"/>
                <w:szCs w:val="16"/>
                <w:lang w:val="en-GB"/>
              </w:rPr>
              <w:t>9</w:t>
            </w:r>
          </w:p>
        </w:tc>
        <w:tc>
          <w:tcPr>
            <w:tcW w:w="3617" w:type="dxa"/>
          </w:tcPr>
          <w:p w:rsidR="00F10CF8" w:rsidRPr="00044E23" w:rsidRDefault="00F10CF8" w:rsidP="00F20BCF">
            <w:pPr>
              <w:rPr>
                <w:sz w:val="16"/>
                <w:szCs w:val="16"/>
                <w:lang w:val="en-GB"/>
              </w:rPr>
            </w:pPr>
            <w:r w:rsidRPr="00044E23">
              <w:rPr>
                <w:sz w:val="16"/>
                <w:szCs w:val="16"/>
                <w:lang w:val="en-GB"/>
              </w:rPr>
              <w:t>Request for exception from the prohibition on processing personal data under Article 9.</w:t>
            </w:r>
          </w:p>
        </w:tc>
      </w:tr>
      <w:tr w:rsidR="00F10CF8" w:rsidRPr="00044E23" w:rsidTr="00CA4165">
        <w:tc>
          <w:tcPr>
            <w:tcW w:w="8364" w:type="dxa"/>
            <w:gridSpan w:val="4"/>
            <w:tcBorders>
              <w:top w:val="single" w:sz="4" w:space="0" w:color="auto"/>
              <w:bottom w:val="single" w:sz="4" w:space="0" w:color="auto"/>
            </w:tcBorders>
            <w:shd w:val="clear" w:color="auto" w:fill="CCFFCC"/>
          </w:tcPr>
          <w:p w:rsidR="00CF5AE4" w:rsidRPr="00044E23" w:rsidRDefault="00F10CF8" w:rsidP="00797532">
            <w:pPr>
              <w:rPr>
                <w:i/>
                <w:sz w:val="16"/>
                <w:szCs w:val="16"/>
                <w:lang w:val="en-GB"/>
              </w:rPr>
            </w:pPr>
            <w:r w:rsidRPr="00044E23">
              <w:rPr>
                <w:i/>
                <w:sz w:val="16"/>
                <w:szCs w:val="16"/>
                <w:lang w:val="en-GB"/>
              </w:rPr>
              <w:t>Article 9 of the EDPR includes implicit scope for an exception.</w:t>
            </w:r>
          </w:p>
          <w:p w:rsidR="00F10CF8" w:rsidRPr="00044E23" w:rsidRDefault="00797532" w:rsidP="00797532">
            <w:pPr>
              <w:rPr>
                <w:i/>
                <w:sz w:val="16"/>
                <w:szCs w:val="16"/>
                <w:lang w:val="en-GB"/>
              </w:rPr>
            </w:pPr>
            <w:r w:rsidRPr="00044E23">
              <w:rPr>
                <w:i/>
                <w:sz w:val="16"/>
                <w:szCs w:val="16"/>
                <w:lang w:val="en-GB"/>
              </w:rPr>
              <w:t>The assumption for the calculation is that the number of exceptions will not change because of the EDPR.</w:t>
            </w:r>
          </w:p>
        </w:tc>
      </w:tr>
    </w:tbl>
    <w:p w:rsidR="00F10CF8" w:rsidRPr="00044E23" w:rsidRDefault="00F10CF8" w:rsidP="00F10CF8">
      <w:pPr>
        <w:rPr>
          <w:lang w:val="en-GB"/>
        </w:rPr>
      </w:pPr>
    </w:p>
    <w:tbl>
      <w:tblPr>
        <w:tblStyle w:val="Tabellenraster"/>
        <w:tblW w:w="0" w:type="auto"/>
        <w:tblInd w:w="79" w:type="dxa"/>
        <w:tblLook w:val="04A0" w:firstRow="1" w:lastRow="0" w:firstColumn="1" w:lastColumn="0" w:noHBand="0" w:noVBand="1"/>
      </w:tblPr>
      <w:tblGrid>
        <w:gridCol w:w="495"/>
        <w:gridCol w:w="3741"/>
        <w:gridCol w:w="511"/>
        <w:gridCol w:w="3617"/>
      </w:tblGrid>
      <w:tr w:rsidR="00F10CF8" w:rsidRPr="00044E23" w:rsidTr="00F10CF8">
        <w:tc>
          <w:tcPr>
            <w:tcW w:w="495" w:type="dxa"/>
            <w:shd w:val="clear" w:color="auto" w:fill="66FF66"/>
          </w:tcPr>
          <w:p w:rsidR="00F10CF8" w:rsidRPr="00044E23" w:rsidRDefault="00F10CF8" w:rsidP="00F20BCF">
            <w:pPr>
              <w:rPr>
                <w:sz w:val="16"/>
                <w:szCs w:val="16"/>
                <w:lang w:val="en-GB"/>
              </w:rPr>
            </w:pPr>
            <w:r w:rsidRPr="00044E23">
              <w:rPr>
                <w:sz w:val="16"/>
                <w:szCs w:val="16"/>
                <w:lang w:val="en-GB"/>
              </w:rPr>
              <w:t>Art.</w:t>
            </w:r>
          </w:p>
        </w:tc>
        <w:tc>
          <w:tcPr>
            <w:tcW w:w="3741" w:type="dxa"/>
            <w:shd w:val="clear" w:color="auto" w:fill="66FF66"/>
          </w:tcPr>
          <w:p w:rsidR="00F10CF8" w:rsidRPr="00044E23" w:rsidRDefault="00F10CF8" w:rsidP="00F20BCF">
            <w:pPr>
              <w:rPr>
                <w:sz w:val="16"/>
                <w:szCs w:val="16"/>
                <w:lang w:val="en-GB"/>
              </w:rPr>
            </w:pPr>
            <w:r w:rsidRPr="00044E23">
              <w:rPr>
                <w:sz w:val="16"/>
                <w:szCs w:val="16"/>
                <w:lang w:val="en-GB"/>
              </w:rPr>
              <w:t>Obligation under DDPA</w:t>
            </w:r>
          </w:p>
        </w:tc>
        <w:tc>
          <w:tcPr>
            <w:tcW w:w="511" w:type="dxa"/>
            <w:shd w:val="clear" w:color="auto" w:fill="66FF66"/>
          </w:tcPr>
          <w:p w:rsidR="00F10CF8" w:rsidRPr="00044E23" w:rsidRDefault="00F10CF8" w:rsidP="00F20BCF">
            <w:pPr>
              <w:rPr>
                <w:sz w:val="16"/>
                <w:szCs w:val="16"/>
                <w:lang w:val="en-GB"/>
              </w:rPr>
            </w:pPr>
            <w:r w:rsidRPr="00044E23">
              <w:rPr>
                <w:sz w:val="16"/>
                <w:szCs w:val="16"/>
                <w:lang w:val="en-GB"/>
              </w:rPr>
              <w:t>Art.</w:t>
            </w:r>
          </w:p>
        </w:tc>
        <w:tc>
          <w:tcPr>
            <w:tcW w:w="3617" w:type="dxa"/>
            <w:shd w:val="clear" w:color="auto" w:fill="66FF66"/>
          </w:tcPr>
          <w:p w:rsidR="00F10CF8" w:rsidRPr="00044E23" w:rsidRDefault="00F10CF8" w:rsidP="00F20BCF">
            <w:pPr>
              <w:rPr>
                <w:sz w:val="16"/>
                <w:szCs w:val="16"/>
                <w:lang w:val="en-GB"/>
              </w:rPr>
            </w:pPr>
            <w:r w:rsidRPr="00044E23">
              <w:rPr>
                <w:sz w:val="16"/>
                <w:szCs w:val="16"/>
                <w:lang w:val="en-GB"/>
              </w:rPr>
              <w:t>Obligation under EDPR</w:t>
            </w:r>
          </w:p>
        </w:tc>
      </w:tr>
      <w:tr w:rsidR="00F10CF8" w:rsidRPr="00044E23" w:rsidTr="00F10CF8">
        <w:tc>
          <w:tcPr>
            <w:tcW w:w="495" w:type="dxa"/>
          </w:tcPr>
          <w:p w:rsidR="00F10CF8" w:rsidRPr="00044E23" w:rsidRDefault="00F10CF8" w:rsidP="00F20BCF">
            <w:pPr>
              <w:rPr>
                <w:sz w:val="16"/>
                <w:szCs w:val="16"/>
                <w:lang w:val="en-GB"/>
              </w:rPr>
            </w:pPr>
            <w:r w:rsidRPr="00044E23">
              <w:rPr>
                <w:sz w:val="16"/>
                <w:szCs w:val="16"/>
                <w:lang w:val="en-GB"/>
              </w:rPr>
              <w:t>25</w:t>
            </w:r>
          </w:p>
        </w:tc>
        <w:tc>
          <w:tcPr>
            <w:tcW w:w="3741" w:type="dxa"/>
          </w:tcPr>
          <w:p w:rsidR="00F10CF8" w:rsidRPr="00044E23" w:rsidRDefault="00F10CF8" w:rsidP="00F20BCF">
            <w:pPr>
              <w:rPr>
                <w:sz w:val="16"/>
                <w:szCs w:val="16"/>
                <w:lang w:val="en-GB"/>
              </w:rPr>
            </w:pPr>
            <w:r w:rsidRPr="00044E23">
              <w:rPr>
                <w:sz w:val="16"/>
                <w:szCs w:val="16"/>
                <w:lang w:val="en-GB"/>
              </w:rPr>
              <w:t>Applications for recognition of code of conduct</w:t>
            </w:r>
          </w:p>
        </w:tc>
        <w:tc>
          <w:tcPr>
            <w:tcW w:w="511" w:type="dxa"/>
          </w:tcPr>
          <w:p w:rsidR="00F10CF8" w:rsidRPr="00044E23" w:rsidRDefault="00F10CF8" w:rsidP="00F20BCF">
            <w:pPr>
              <w:rPr>
                <w:sz w:val="16"/>
                <w:szCs w:val="16"/>
                <w:lang w:val="en-GB"/>
              </w:rPr>
            </w:pPr>
            <w:r w:rsidRPr="00044E23">
              <w:rPr>
                <w:sz w:val="16"/>
                <w:szCs w:val="16"/>
                <w:lang w:val="en-GB"/>
              </w:rPr>
              <w:t>38</w:t>
            </w:r>
          </w:p>
        </w:tc>
        <w:tc>
          <w:tcPr>
            <w:tcW w:w="3617" w:type="dxa"/>
          </w:tcPr>
          <w:p w:rsidR="00F10CF8" w:rsidRPr="00044E23" w:rsidRDefault="00F10CF8" w:rsidP="00F20BCF">
            <w:pPr>
              <w:rPr>
                <w:sz w:val="16"/>
                <w:szCs w:val="16"/>
                <w:lang w:val="en-GB"/>
              </w:rPr>
            </w:pPr>
            <w:r w:rsidRPr="00044E23">
              <w:rPr>
                <w:sz w:val="16"/>
                <w:szCs w:val="16"/>
                <w:lang w:val="en-GB"/>
              </w:rPr>
              <w:t xml:space="preserve">Applications for recognition of code of </w:t>
            </w:r>
            <w:r w:rsidR="00044E23" w:rsidRPr="00044E23">
              <w:rPr>
                <w:sz w:val="16"/>
                <w:szCs w:val="16"/>
                <w:lang w:val="en-GB"/>
              </w:rPr>
              <w:t>conduct</w:t>
            </w:r>
          </w:p>
        </w:tc>
      </w:tr>
      <w:tr w:rsidR="00F10CF8" w:rsidRPr="00044E23" w:rsidTr="00F10CF8">
        <w:tc>
          <w:tcPr>
            <w:tcW w:w="8364" w:type="dxa"/>
            <w:gridSpan w:val="4"/>
            <w:tcBorders>
              <w:top w:val="single" w:sz="4" w:space="0" w:color="auto"/>
              <w:bottom w:val="single" w:sz="4" w:space="0" w:color="auto"/>
            </w:tcBorders>
            <w:shd w:val="clear" w:color="auto" w:fill="CCFFCC"/>
          </w:tcPr>
          <w:p w:rsidR="00F10CF8" w:rsidRPr="00044E23" w:rsidRDefault="00F10CF8" w:rsidP="00797532">
            <w:pPr>
              <w:rPr>
                <w:i/>
                <w:sz w:val="16"/>
                <w:szCs w:val="16"/>
                <w:lang w:val="en-GB"/>
              </w:rPr>
            </w:pPr>
            <w:r w:rsidRPr="00044E23">
              <w:rPr>
                <w:i/>
                <w:sz w:val="16"/>
                <w:szCs w:val="16"/>
                <w:lang w:val="en-GB"/>
              </w:rPr>
              <w:t>Applications for recognition of a code of conduct are not compulsory in either the DPA or the EDPR. However, this action has been taken into account in the study because the costs were included in the AB baseline measurement. This ensures that comparability with the AB baseline is retained.</w:t>
            </w:r>
          </w:p>
        </w:tc>
      </w:tr>
    </w:tbl>
    <w:p w:rsidR="00F10CF8" w:rsidRPr="00044E23" w:rsidRDefault="00F10CF8" w:rsidP="00F10CF8">
      <w:pPr>
        <w:rPr>
          <w:lang w:val="en-GB"/>
        </w:rPr>
      </w:pPr>
    </w:p>
    <w:tbl>
      <w:tblPr>
        <w:tblStyle w:val="Tabellenraster"/>
        <w:tblW w:w="0" w:type="auto"/>
        <w:tblInd w:w="79" w:type="dxa"/>
        <w:tblLook w:val="04A0" w:firstRow="1" w:lastRow="0" w:firstColumn="1" w:lastColumn="0" w:noHBand="0" w:noVBand="1"/>
      </w:tblPr>
      <w:tblGrid>
        <w:gridCol w:w="495"/>
        <w:gridCol w:w="3741"/>
        <w:gridCol w:w="511"/>
        <w:gridCol w:w="3617"/>
      </w:tblGrid>
      <w:tr w:rsidR="00F10CF8" w:rsidRPr="00044E23" w:rsidTr="00F10CF8">
        <w:tc>
          <w:tcPr>
            <w:tcW w:w="495" w:type="dxa"/>
            <w:shd w:val="clear" w:color="auto" w:fill="66FF66"/>
          </w:tcPr>
          <w:p w:rsidR="00F10CF8" w:rsidRPr="00044E23" w:rsidRDefault="00F10CF8" w:rsidP="00F20BCF">
            <w:pPr>
              <w:rPr>
                <w:sz w:val="16"/>
                <w:szCs w:val="16"/>
                <w:lang w:val="en-GB"/>
              </w:rPr>
            </w:pPr>
            <w:r w:rsidRPr="00044E23">
              <w:rPr>
                <w:sz w:val="16"/>
                <w:szCs w:val="16"/>
                <w:lang w:val="en-GB"/>
              </w:rPr>
              <w:t>Art.</w:t>
            </w:r>
          </w:p>
        </w:tc>
        <w:tc>
          <w:tcPr>
            <w:tcW w:w="3741" w:type="dxa"/>
            <w:shd w:val="clear" w:color="auto" w:fill="66FF66"/>
          </w:tcPr>
          <w:p w:rsidR="00F10CF8" w:rsidRPr="00044E23" w:rsidRDefault="00F10CF8" w:rsidP="00F20BCF">
            <w:pPr>
              <w:rPr>
                <w:sz w:val="16"/>
                <w:szCs w:val="16"/>
                <w:lang w:val="en-GB"/>
              </w:rPr>
            </w:pPr>
            <w:r w:rsidRPr="00044E23">
              <w:rPr>
                <w:sz w:val="16"/>
                <w:szCs w:val="16"/>
                <w:lang w:val="en-GB"/>
              </w:rPr>
              <w:t>Obligation under DDPA</w:t>
            </w:r>
          </w:p>
        </w:tc>
        <w:tc>
          <w:tcPr>
            <w:tcW w:w="511" w:type="dxa"/>
            <w:shd w:val="clear" w:color="auto" w:fill="66FF66"/>
          </w:tcPr>
          <w:p w:rsidR="00F10CF8" w:rsidRPr="00044E23" w:rsidRDefault="00F10CF8" w:rsidP="00F20BCF">
            <w:pPr>
              <w:rPr>
                <w:sz w:val="16"/>
                <w:szCs w:val="16"/>
                <w:lang w:val="en-GB"/>
              </w:rPr>
            </w:pPr>
            <w:r w:rsidRPr="00044E23">
              <w:rPr>
                <w:sz w:val="16"/>
                <w:szCs w:val="16"/>
                <w:lang w:val="en-GB"/>
              </w:rPr>
              <w:t>Art.</w:t>
            </w:r>
          </w:p>
        </w:tc>
        <w:tc>
          <w:tcPr>
            <w:tcW w:w="3617" w:type="dxa"/>
            <w:shd w:val="clear" w:color="auto" w:fill="66FF66"/>
          </w:tcPr>
          <w:p w:rsidR="00F10CF8" w:rsidRPr="00044E23" w:rsidRDefault="00F10CF8" w:rsidP="00F20BCF">
            <w:pPr>
              <w:rPr>
                <w:sz w:val="16"/>
                <w:szCs w:val="16"/>
                <w:lang w:val="en-GB"/>
              </w:rPr>
            </w:pPr>
            <w:r w:rsidRPr="00044E23">
              <w:rPr>
                <w:sz w:val="16"/>
                <w:szCs w:val="16"/>
                <w:lang w:val="en-GB"/>
              </w:rPr>
              <w:t>Obligation under EDPR</w:t>
            </w:r>
          </w:p>
        </w:tc>
      </w:tr>
      <w:tr w:rsidR="00F10CF8" w:rsidRPr="00044E23" w:rsidTr="00F10CF8">
        <w:tc>
          <w:tcPr>
            <w:tcW w:w="495" w:type="dxa"/>
          </w:tcPr>
          <w:p w:rsidR="00F10CF8" w:rsidRPr="00044E23" w:rsidRDefault="00F10CF8" w:rsidP="00F20BCF">
            <w:pPr>
              <w:rPr>
                <w:sz w:val="16"/>
                <w:szCs w:val="16"/>
                <w:lang w:val="en-GB"/>
              </w:rPr>
            </w:pPr>
            <w:r w:rsidRPr="00044E23">
              <w:rPr>
                <w:sz w:val="16"/>
                <w:szCs w:val="16"/>
                <w:lang w:val="en-GB"/>
              </w:rPr>
              <w:t>32</w:t>
            </w:r>
          </w:p>
        </w:tc>
        <w:tc>
          <w:tcPr>
            <w:tcW w:w="3741" w:type="dxa"/>
          </w:tcPr>
          <w:p w:rsidR="00F10CF8" w:rsidRPr="00044E23" w:rsidRDefault="00F10CF8" w:rsidP="00F20BCF">
            <w:pPr>
              <w:rPr>
                <w:sz w:val="16"/>
                <w:szCs w:val="16"/>
                <w:lang w:val="en-GB"/>
              </w:rPr>
            </w:pPr>
            <w:r w:rsidRPr="00044E23">
              <w:rPr>
                <w:sz w:val="16"/>
                <w:szCs w:val="16"/>
                <w:lang w:val="en-GB"/>
              </w:rPr>
              <w:t>Notification of data processing to the Dutch Data Processing Authority (CBP) covered by Art. 31 (i)</w:t>
            </w:r>
          </w:p>
        </w:tc>
        <w:tc>
          <w:tcPr>
            <w:tcW w:w="511" w:type="dxa"/>
          </w:tcPr>
          <w:p w:rsidR="00F10CF8" w:rsidRPr="00044E23" w:rsidRDefault="00F10CF8" w:rsidP="00F20BCF">
            <w:pPr>
              <w:rPr>
                <w:sz w:val="16"/>
                <w:szCs w:val="16"/>
                <w:lang w:val="en-GB"/>
              </w:rPr>
            </w:pPr>
            <w:r w:rsidRPr="00044E23">
              <w:rPr>
                <w:sz w:val="16"/>
                <w:szCs w:val="16"/>
                <w:lang w:val="en-GB"/>
              </w:rPr>
              <w:t>34</w:t>
            </w:r>
          </w:p>
        </w:tc>
        <w:tc>
          <w:tcPr>
            <w:tcW w:w="3617" w:type="dxa"/>
          </w:tcPr>
          <w:p w:rsidR="00F10CF8" w:rsidRPr="00044E23" w:rsidRDefault="00F10CF8" w:rsidP="00F20BCF">
            <w:pPr>
              <w:rPr>
                <w:sz w:val="16"/>
                <w:szCs w:val="16"/>
                <w:lang w:val="en-GB"/>
              </w:rPr>
            </w:pPr>
            <w:r w:rsidRPr="00044E23">
              <w:rPr>
                <w:sz w:val="16"/>
                <w:szCs w:val="16"/>
                <w:lang w:val="en-GB"/>
              </w:rPr>
              <w:t>Consultation with supervisory authority prior to personal data processing</w:t>
            </w:r>
          </w:p>
        </w:tc>
      </w:tr>
      <w:tr w:rsidR="00F10CF8" w:rsidRPr="00044E23" w:rsidTr="00F10CF8">
        <w:tc>
          <w:tcPr>
            <w:tcW w:w="8364" w:type="dxa"/>
            <w:gridSpan w:val="4"/>
            <w:tcBorders>
              <w:top w:val="single" w:sz="4" w:space="0" w:color="auto"/>
              <w:bottom w:val="single" w:sz="4" w:space="0" w:color="auto"/>
            </w:tcBorders>
            <w:shd w:val="clear" w:color="auto" w:fill="CCFFCC"/>
          </w:tcPr>
          <w:p w:rsidR="00F10CF8" w:rsidRPr="00044E23" w:rsidRDefault="00CF5AE4" w:rsidP="00CF5AE4">
            <w:pPr>
              <w:rPr>
                <w:i/>
                <w:sz w:val="16"/>
                <w:szCs w:val="16"/>
                <w:lang w:val="en-GB"/>
              </w:rPr>
            </w:pPr>
            <w:r w:rsidRPr="00044E23">
              <w:rPr>
                <w:i/>
                <w:sz w:val="16"/>
                <w:szCs w:val="16"/>
                <w:lang w:val="en-GB"/>
              </w:rPr>
              <w:t>The assumption for the calculation is that the list of processing operations which the obligation covers will not change compared to the DDPA.</w:t>
            </w:r>
          </w:p>
        </w:tc>
      </w:tr>
    </w:tbl>
    <w:p w:rsidR="00F10CF8" w:rsidRPr="00044E23" w:rsidRDefault="00F10CF8" w:rsidP="00F10CF8">
      <w:pPr>
        <w:rPr>
          <w:lang w:val="en-GB"/>
        </w:rPr>
      </w:pPr>
    </w:p>
    <w:tbl>
      <w:tblPr>
        <w:tblStyle w:val="Tabellenraster"/>
        <w:tblW w:w="0" w:type="auto"/>
        <w:tblInd w:w="79" w:type="dxa"/>
        <w:tblLook w:val="04A0" w:firstRow="1" w:lastRow="0" w:firstColumn="1" w:lastColumn="0" w:noHBand="0" w:noVBand="1"/>
      </w:tblPr>
      <w:tblGrid>
        <w:gridCol w:w="495"/>
        <w:gridCol w:w="3741"/>
        <w:gridCol w:w="511"/>
        <w:gridCol w:w="3617"/>
      </w:tblGrid>
      <w:tr w:rsidR="00F10CF8" w:rsidRPr="00044E23" w:rsidTr="00F10CF8">
        <w:tc>
          <w:tcPr>
            <w:tcW w:w="495" w:type="dxa"/>
            <w:shd w:val="clear" w:color="auto" w:fill="66FF66"/>
          </w:tcPr>
          <w:p w:rsidR="00F10CF8" w:rsidRPr="00044E23" w:rsidRDefault="00F10CF8" w:rsidP="00F20BCF">
            <w:pPr>
              <w:rPr>
                <w:sz w:val="16"/>
                <w:szCs w:val="16"/>
                <w:lang w:val="en-GB"/>
              </w:rPr>
            </w:pPr>
            <w:r w:rsidRPr="00044E23">
              <w:rPr>
                <w:sz w:val="16"/>
                <w:szCs w:val="16"/>
                <w:lang w:val="en-GB"/>
              </w:rPr>
              <w:t>Art.</w:t>
            </w:r>
          </w:p>
        </w:tc>
        <w:tc>
          <w:tcPr>
            <w:tcW w:w="3741" w:type="dxa"/>
            <w:shd w:val="clear" w:color="auto" w:fill="66FF66"/>
          </w:tcPr>
          <w:p w:rsidR="00F10CF8" w:rsidRPr="00044E23" w:rsidRDefault="00F10CF8" w:rsidP="00F20BCF">
            <w:pPr>
              <w:rPr>
                <w:sz w:val="16"/>
                <w:szCs w:val="16"/>
                <w:lang w:val="en-GB"/>
              </w:rPr>
            </w:pPr>
            <w:r w:rsidRPr="00044E23">
              <w:rPr>
                <w:sz w:val="16"/>
                <w:szCs w:val="16"/>
                <w:lang w:val="en-GB"/>
              </w:rPr>
              <w:t>Obligation under DDPA</w:t>
            </w:r>
          </w:p>
        </w:tc>
        <w:tc>
          <w:tcPr>
            <w:tcW w:w="511" w:type="dxa"/>
            <w:shd w:val="clear" w:color="auto" w:fill="66FF66"/>
          </w:tcPr>
          <w:p w:rsidR="00F10CF8" w:rsidRPr="00044E23" w:rsidRDefault="00F10CF8" w:rsidP="00F20BCF">
            <w:pPr>
              <w:rPr>
                <w:sz w:val="16"/>
                <w:szCs w:val="16"/>
                <w:lang w:val="en-GB"/>
              </w:rPr>
            </w:pPr>
            <w:r w:rsidRPr="00044E23">
              <w:rPr>
                <w:sz w:val="16"/>
                <w:szCs w:val="16"/>
                <w:lang w:val="en-GB"/>
              </w:rPr>
              <w:t>Art.</w:t>
            </w:r>
          </w:p>
        </w:tc>
        <w:tc>
          <w:tcPr>
            <w:tcW w:w="3617" w:type="dxa"/>
            <w:shd w:val="clear" w:color="auto" w:fill="66FF66"/>
          </w:tcPr>
          <w:p w:rsidR="00F10CF8" w:rsidRPr="00044E23" w:rsidRDefault="00F10CF8" w:rsidP="00F20BCF">
            <w:pPr>
              <w:rPr>
                <w:sz w:val="16"/>
                <w:szCs w:val="16"/>
                <w:lang w:val="en-GB"/>
              </w:rPr>
            </w:pPr>
            <w:r w:rsidRPr="00044E23">
              <w:rPr>
                <w:sz w:val="16"/>
                <w:szCs w:val="16"/>
                <w:lang w:val="en-GB"/>
              </w:rPr>
              <w:t>Obligation under EDPR</w:t>
            </w:r>
          </w:p>
        </w:tc>
      </w:tr>
      <w:tr w:rsidR="00F10CF8" w:rsidRPr="00044E23" w:rsidTr="00F10CF8">
        <w:tc>
          <w:tcPr>
            <w:tcW w:w="495" w:type="dxa"/>
          </w:tcPr>
          <w:p w:rsidR="00F10CF8" w:rsidRPr="00044E23" w:rsidRDefault="00F10CF8" w:rsidP="00F20BCF">
            <w:pPr>
              <w:rPr>
                <w:sz w:val="16"/>
                <w:szCs w:val="16"/>
                <w:lang w:val="en-GB"/>
              </w:rPr>
            </w:pPr>
            <w:r w:rsidRPr="00044E23">
              <w:rPr>
                <w:sz w:val="16"/>
                <w:szCs w:val="16"/>
                <w:lang w:val="en-GB"/>
              </w:rPr>
              <w:t>63</w:t>
            </w:r>
          </w:p>
        </w:tc>
        <w:tc>
          <w:tcPr>
            <w:tcW w:w="3741" w:type="dxa"/>
          </w:tcPr>
          <w:p w:rsidR="00F10CF8" w:rsidRPr="00044E23" w:rsidRDefault="00F10CF8" w:rsidP="00F20BCF">
            <w:pPr>
              <w:rPr>
                <w:sz w:val="16"/>
                <w:szCs w:val="16"/>
                <w:lang w:val="en-GB"/>
              </w:rPr>
            </w:pPr>
            <w:r w:rsidRPr="00044E23">
              <w:rPr>
                <w:sz w:val="16"/>
                <w:szCs w:val="16"/>
                <w:lang w:val="en-GB"/>
              </w:rPr>
              <w:t>Register the data protection officer with the Dutch Data Protection Authority.</w:t>
            </w:r>
          </w:p>
        </w:tc>
        <w:tc>
          <w:tcPr>
            <w:tcW w:w="511" w:type="dxa"/>
          </w:tcPr>
          <w:p w:rsidR="00F10CF8" w:rsidRPr="00044E23" w:rsidRDefault="00F10CF8" w:rsidP="00F20BCF">
            <w:pPr>
              <w:rPr>
                <w:sz w:val="16"/>
                <w:szCs w:val="16"/>
                <w:lang w:val="en-GB"/>
              </w:rPr>
            </w:pPr>
            <w:r w:rsidRPr="00044E23">
              <w:rPr>
                <w:sz w:val="16"/>
                <w:szCs w:val="16"/>
                <w:lang w:val="en-GB"/>
              </w:rPr>
              <w:t>35</w:t>
            </w:r>
          </w:p>
        </w:tc>
        <w:tc>
          <w:tcPr>
            <w:tcW w:w="3617" w:type="dxa"/>
          </w:tcPr>
          <w:p w:rsidR="00F10CF8" w:rsidRPr="00044E23" w:rsidRDefault="00F10CF8" w:rsidP="00F20BCF">
            <w:pPr>
              <w:rPr>
                <w:sz w:val="16"/>
                <w:szCs w:val="16"/>
                <w:lang w:val="en-GB"/>
              </w:rPr>
            </w:pPr>
            <w:r w:rsidRPr="00044E23">
              <w:rPr>
                <w:sz w:val="16"/>
                <w:szCs w:val="16"/>
                <w:lang w:val="en-GB"/>
              </w:rPr>
              <w:t>Communicate name and contact information of the data protection officer</w:t>
            </w:r>
          </w:p>
        </w:tc>
      </w:tr>
      <w:tr w:rsidR="00F10CF8" w:rsidRPr="00044E23" w:rsidTr="00F10CF8">
        <w:tc>
          <w:tcPr>
            <w:tcW w:w="8364" w:type="dxa"/>
            <w:gridSpan w:val="4"/>
            <w:tcBorders>
              <w:top w:val="single" w:sz="4" w:space="0" w:color="auto"/>
              <w:bottom w:val="single" w:sz="4" w:space="0" w:color="auto"/>
            </w:tcBorders>
            <w:shd w:val="clear" w:color="auto" w:fill="CCFFCC"/>
          </w:tcPr>
          <w:p w:rsidR="00F10CF8" w:rsidRPr="00044E23" w:rsidRDefault="00F10CF8" w:rsidP="00F20BCF">
            <w:pPr>
              <w:rPr>
                <w:i/>
                <w:sz w:val="16"/>
                <w:szCs w:val="16"/>
                <w:lang w:val="en-GB"/>
              </w:rPr>
            </w:pPr>
            <w:r w:rsidRPr="00044E23">
              <w:rPr>
                <w:i/>
                <w:sz w:val="16"/>
                <w:szCs w:val="16"/>
                <w:lang w:val="en-GB"/>
              </w:rPr>
              <w:t xml:space="preserve">In the DDPA, </w:t>
            </w:r>
            <w:r w:rsidRPr="00044E23">
              <w:rPr>
                <w:b/>
                <w:i/>
                <w:sz w:val="16"/>
                <w:szCs w:val="16"/>
                <w:lang w:val="en-GB"/>
              </w:rPr>
              <w:t>the designation</w:t>
            </w:r>
            <w:r w:rsidRPr="00044E23">
              <w:rPr>
                <w:i/>
                <w:sz w:val="16"/>
                <w:szCs w:val="16"/>
                <w:lang w:val="en-GB"/>
              </w:rPr>
              <w:t xml:space="preserve"> of a data protection officer is not obligatory. In the EDPR, it is obligatory for certain businesses. The action has been taken into account for both situations as the costs have been included in the AB baseline measurement. This ensures that comparability with the AB baseline is retained.</w:t>
            </w:r>
          </w:p>
          <w:p w:rsidR="0091665F" w:rsidRPr="00044E23" w:rsidRDefault="0091665F" w:rsidP="007C0FE9">
            <w:pPr>
              <w:rPr>
                <w:i/>
                <w:sz w:val="16"/>
                <w:szCs w:val="16"/>
                <w:lang w:val="en-GB"/>
              </w:rPr>
            </w:pPr>
            <w:r w:rsidRPr="00044E23">
              <w:rPr>
                <w:i/>
                <w:sz w:val="16"/>
                <w:szCs w:val="16"/>
                <w:lang w:val="en-GB"/>
              </w:rPr>
              <w:t>The number of times that this action is performed increases in the EDPR. This is because the number of appointments of data protection officers increases, as it will be compulsory for certain businesses.</w:t>
            </w:r>
          </w:p>
        </w:tc>
      </w:tr>
    </w:tbl>
    <w:p w:rsidR="00F10CF8" w:rsidRPr="00044E23" w:rsidRDefault="00F10CF8" w:rsidP="00F10CF8">
      <w:pPr>
        <w:rPr>
          <w:lang w:val="en-GB"/>
        </w:rPr>
      </w:pPr>
    </w:p>
    <w:p w:rsidR="00811DCB" w:rsidRPr="00044E23" w:rsidRDefault="00811DCB">
      <w:pPr>
        <w:rPr>
          <w:lang w:val="en-GB"/>
        </w:rPr>
      </w:pPr>
      <w:r w:rsidRPr="00044E23">
        <w:rPr>
          <w:lang w:val="en-GB"/>
        </w:rPr>
        <w:br w:type="page"/>
      </w:r>
    </w:p>
    <w:tbl>
      <w:tblPr>
        <w:tblStyle w:val="Tabellenraster"/>
        <w:tblW w:w="0" w:type="auto"/>
        <w:tblInd w:w="79" w:type="dxa"/>
        <w:tblLook w:val="04A0" w:firstRow="1" w:lastRow="0" w:firstColumn="1" w:lastColumn="0" w:noHBand="0" w:noVBand="1"/>
      </w:tblPr>
      <w:tblGrid>
        <w:gridCol w:w="495"/>
        <w:gridCol w:w="3741"/>
        <w:gridCol w:w="511"/>
        <w:gridCol w:w="3617"/>
      </w:tblGrid>
      <w:tr w:rsidR="00F10CF8" w:rsidRPr="00044E23" w:rsidTr="00F10CF8">
        <w:tc>
          <w:tcPr>
            <w:tcW w:w="495" w:type="dxa"/>
            <w:shd w:val="clear" w:color="auto" w:fill="66FF66"/>
          </w:tcPr>
          <w:p w:rsidR="00F10CF8" w:rsidRPr="00044E23" w:rsidRDefault="00F10CF8" w:rsidP="00F20BCF">
            <w:pPr>
              <w:rPr>
                <w:sz w:val="16"/>
                <w:szCs w:val="16"/>
                <w:lang w:val="en-GB"/>
              </w:rPr>
            </w:pPr>
            <w:r w:rsidRPr="00044E23">
              <w:rPr>
                <w:sz w:val="16"/>
                <w:szCs w:val="16"/>
                <w:lang w:val="en-GB"/>
              </w:rPr>
              <w:t>Art.</w:t>
            </w:r>
          </w:p>
        </w:tc>
        <w:tc>
          <w:tcPr>
            <w:tcW w:w="3741" w:type="dxa"/>
            <w:shd w:val="clear" w:color="auto" w:fill="66FF66"/>
          </w:tcPr>
          <w:p w:rsidR="00F10CF8" w:rsidRPr="00044E23" w:rsidRDefault="00F10CF8" w:rsidP="00F20BCF">
            <w:pPr>
              <w:rPr>
                <w:sz w:val="16"/>
                <w:szCs w:val="16"/>
                <w:lang w:val="en-GB"/>
              </w:rPr>
            </w:pPr>
            <w:r w:rsidRPr="00044E23">
              <w:rPr>
                <w:sz w:val="16"/>
                <w:szCs w:val="16"/>
                <w:lang w:val="en-GB"/>
              </w:rPr>
              <w:t>Obligation under DDPA</w:t>
            </w:r>
          </w:p>
        </w:tc>
        <w:tc>
          <w:tcPr>
            <w:tcW w:w="511" w:type="dxa"/>
            <w:shd w:val="clear" w:color="auto" w:fill="66FF66"/>
          </w:tcPr>
          <w:p w:rsidR="00F10CF8" w:rsidRPr="00044E23" w:rsidRDefault="00F10CF8" w:rsidP="00F20BCF">
            <w:pPr>
              <w:rPr>
                <w:sz w:val="16"/>
                <w:szCs w:val="16"/>
                <w:lang w:val="en-GB"/>
              </w:rPr>
            </w:pPr>
            <w:r w:rsidRPr="00044E23">
              <w:rPr>
                <w:sz w:val="16"/>
                <w:szCs w:val="16"/>
                <w:lang w:val="en-GB"/>
              </w:rPr>
              <w:t>Art.</w:t>
            </w:r>
          </w:p>
        </w:tc>
        <w:tc>
          <w:tcPr>
            <w:tcW w:w="3617" w:type="dxa"/>
            <w:shd w:val="clear" w:color="auto" w:fill="66FF66"/>
          </w:tcPr>
          <w:p w:rsidR="00F10CF8" w:rsidRPr="00044E23" w:rsidRDefault="00F10CF8" w:rsidP="00F20BCF">
            <w:pPr>
              <w:rPr>
                <w:sz w:val="16"/>
                <w:szCs w:val="16"/>
                <w:lang w:val="en-GB"/>
              </w:rPr>
            </w:pPr>
            <w:r w:rsidRPr="00044E23">
              <w:rPr>
                <w:sz w:val="16"/>
                <w:szCs w:val="16"/>
                <w:lang w:val="en-GB"/>
              </w:rPr>
              <w:t>Obligation under EDPR</w:t>
            </w:r>
          </w:p>
        </w:tc>
      </w:tr>
      <w:tr w:rsidR="00F10CF8" w:rsidRPr="00044E23" w:rsidTr="00F10CF8">
        <w:tc>
          <w:tcPr>
            <w:tcW w:w="495" w:type="dxa"/>
            <w:vMerge w:val="restart"/>
          </w:tcPr>
          <w:p w:rsidR="00F10CF8" w:rsidRPr="00044E23" w:rsidRDefault="00F10CF8" w:rsidP="00F20BCF">
            <w:pPr>
              <w:rPr>
                <w:sz w:val="16"/>
                <w:szCs w:val="16"/>
                <w:lang w:val="en-GB"/>
              </w:rPr>
            </w:pPr>
            <w:r w:rsidRPr="00044E23">
              <w:rPr>
                <w:sz w:val="16"/>
                <w:szCs w:val="16"/>
                <w:lang w:val="en-GB"/>
              </w:rPr>
              <w:t>77</w:t>
            </w:r>
          </w:p>
        </w:tc>
        <w:tc>
          <w:tcPr>
            <w:tcW w:w="3741" w:type="dxa"/>
            <w:vMerge w:val="restart"/>
          </w:tcPr>
          <w:p w:rsidR="00F10CF8" w:rsidRPr="00044E23" w:rsidRDefault="00F10CF8" w:rsidP="00F20BCF">
            <w:pPr>
              <w:rPr>
                <w:sz w:val="16"/>
                <w:szCs w:val="16"/>
                <w:lang w:val="en-GB"/>
              </w:rPr>
            </w:pPr>
            <w:r w:rsidRPr="00044E23">
              <w:rPr>
                <w:sz w:val="16"/>
                <w:szCs w:val="16"/>
                <w:lang w:val="en-GB"/>
              </w:rPr>
              <w:t>Applications for permission to transfer personal data or to transfer categories of personal data to a third country that does not offer suitable assurances of the level of protection.</w:t>
            </w:r>
          </w:p>
        </w:tc>
        <w:tc>
          <w:tcPr>
            <w:tcW w:w="511" w:type="dxa"/>
          </w:tcPr>
          <w:p w:rsidR="00F10CF8" w:rsidRPr="00044E23" w:rsidRDefault="00F10CF8" w:rsidP="00F20BCF">
            <w:pPr>
              <w:rPr>
                <w:sz w:val="16"/>
                <w:szCs w:val="16"/>
                <w:lang w:val="en-GB"/>
              </w:rPr>
            </w:pPr>
            <w:r w:rsidRPr="00044E23">
              <w:rPr>
                <w:sz w:val="16"/>
                <w:szCs w:val="16"/>
                <w:lang w:val="en-GB"/>
              </w:rPr>
              <w:t>34</w:t>
            </w:r>
          </w:p>
        </w:tc>
        <w:tc>
          <w:tcPr>
            <w:tcW w:w="3617" w:type="dxa"/>
          </w:tcPr>
          <w:p w:rsidR="00F10CF8" w:rsidRPr="00044E23" w:rsidRDefault="00F10CF8" w:rsidP="00F20BCF">
            <w:pPr>
              <w:rPr>
                <w:sz w:val="16"/>
                <w:szCs w:val="16"/>
                <w:lang w:val="en-GB"/>
              </w:rPr>
            </w:pPr>
            <w:r w:rsidRPr="00044E23">
              <w:rPr>
                <w:sz w:val="16"/>
                <w:szCs w:val="16"/>
                <w:lang w:val="en-GB"/>
              </w:rPr>
              <w:t>Apply to the supervisory authority for permission prior to personal data processing</w:t>
            </w:r>
          </w:p>
        </w:tc>
      </w:tr>
      <w:tr w:rsidR="00F10CF8" w:rsidRPr="00044E23" w:rsidTr="00F10CF8">
        <w:tc>
          <w:tcPr>
            <w:tcW w:w="495" w:type="dxa"/>
            <w:vMerge/>
            <w:tcBorders>
              <w:bottom w:val="single" w:sz="4" w:space="0" w:color="auto"/>
            </w:tcBorders>
          </w:tcPr>
          <w:p w:rsidR="00F10CF8" w:rsidRPr="00044E23" w:rsidRDefault="00F10CF8" w:rsidP="00F20BCF">
            <w:pPr>
              <w:rPr>
                <w:sz w:val="16"/>
                <w:szCs w:val="16"/>
                <w:lang w:val="en-GB"/>
              </w:rPr>
            </w:pPr>
          </w:p>
        </w:tc>
        <w:tc>
          <w:tcPr>
            <w:tcW w:w="3741" w:type="dxa"/>
            <w:vMerge/>
            <w:tcBorders>
              <w:bottom w:val="single" w:sz="4" w:space="0" w:color="auto"/>
            </w:tcBorders>
          </w:tcPr>
          <w:p w:rsidR="00F10CF8" w:rsidRPr="00044E23" w:rsidRDefault="00F10CF8" w:rsidP="00F20BCF">
            <w:pPr>
              <w:rPr>
                <w:sz w:val="16"/>
                <w:szCs w:val="16"/>
                <w:lang w:val="en-GB"/>
              </w:rPr>
            </w:pPr>
          </w:p>
        </w:tc>
        <w:tc>
          <w:tcPr>
            <w:tcW w:w="511" w:type="dxa"/>
            <w:tcBorders>
              <w:bottom w:val="single" w:sz="4" w:space="0" w:color="auto"/>
            </w:tcBorders>
          </w:tcPr>
          <w:p w:rsidR="00F10CF8" w:rsidRPr="00044E23" w:rsidRDefault="00F10CF8" w:rsidP="00F20BCF">
            <w:pPr>
              <w:rPr>
                <w:sz w:val="16"/>
                <w:szCs w:val="16"/>
                <w:lang w:val="en-GB"/>
              </w:rPr>
            </w:pPr>
            <w:r w:rsidRPr="00044E23">
              <w:rPr>
                <w:sz w:val="16"/>
                <w:szCs w:val="16"/>
                <w:lang w:val="en-GB"/>
              </w:rPr>
              <w:t>44</w:t>
            </w:r>
          </w:p>
        </w:tc>
        <w:tc>
          <w:tcPr>
            <w:tcW w:w="3617" w:type="dxa"/>
            <w:tcBorders>
              <w:bottom w:val="single" w:sz="4" w:space="0" w:color="auto"/>
            </w:tcBorders>
          </w:tcPr>
          <w:p w:rsidR="00F10CF8" w:rsidRPr="00044E23" w:rsidRDefault="00F10CF8" w:rsidP="00F20BCF">
            <w:pPr>
              <w:rPr>
                <w:sz w:val="16"/>
                <w:szCs w:val="16"/>
                <w:lang w:val="en-GB"/>
              </w:rPr>
            </w:pPr>
            <w:r w:rsidRPr="00044E23">
              <w:rPr>
                <w:sz w:val="16"/>
                <w:szCs w:val="16"/>
                <w:lang w:val="en-GB"/>
              </w:rPr>
              <w:t>Inform the supervisory authority of transfer in the case of legitimate interests of the data controller or the data processor, including documentation</w:t>
            </w:r>
          </w:p>
        </w:tc>
      </w:tr>
      <w:tr w:rsidR="00F10CF8" w:rsidRPr="00044E23" w:rsidTr="00F10CF8">
        <w:tc>
          <w:tcPr>
            <w:tcW w:w="8364" w:type="dxa"/>
            <w:gridSpan w:val="4"/>
            <w:tcBorders>
              <w:top w:val="single" w:sz="4" w:space="0" w:color="auto"/>
              <w:bottom w:val="single" w:sz="4" w:space="0" w:color="auto"/>
            </w:tcBorders>
            <w:shd w:val="clear" w:color="auto" w:fill="CCFFCC"/>
          </w:tcPr>
          <w:p w:rsidR="00F10CF8" w:rsidRPr="00044E23" w:rsidRDefault="00F10CF8" w:rsidP="00F20BCF">
            <w:pPr>
              <w:rPr>
                <w:i/>
                <w:sz w:val="16"/>
                <w:szCs w:val="16"/>
                <w:lang w:val="en-GB"/>
              </w:rPr>
            </w:pPr>
            <w:r w:rsidRPr="00044E23">
              <w:rPr>
                <w:i/>
                <w:sz w:val="16"/>
                <w:szCs w:val="16"/>
                <w:lang w:val="en-GB"/>
              </w:rPr>
              <w:t>The costs are comparable, but the EDPR offers businesses more options. For instance, large businesses can draft a binding corporate protocol and submit it for approval so that there is no need to apply for permission. Drafting and submitting such a protocol for approval is not an obligation, however. In the course of time, it is possible that this may lead to a reduction in the number of requests for permission.</w:t>
            </w:r>
          </w:p>
        </w:tc>
      </w:tr>
    </w:tbl>
    <w:p w:rsidR="00F43AD2" w:rsidRPr="00044E23" w:rsidRDefault="00F43AD2" w:rsidP="00033B19">
      <w:pPr>
        <w:pStyle w:val="berschrift4"/>
        <w:rPr>
          <w:lang w:val="en-GB"/>
        </w:rPr>
      </w:pPr>
      <w:r w:rsidRPr="00044E23">
        <w:rPr>
          <w:lang w:val="en-GB"/>
        </w:rPr>
        <w:t>Other obligations that give rise to CC</w:t>
      </w:r>
    </w:p>
    <w:p w:rsidR="00C34381" w:rsidRPr="00044E23" w:rsidRDefault="00C34381" w:rsidP="00C34381">
      <w:pPr>
        <w:rPr>
          <w:lang w:val="en-GB"/>
        </w:rPr>
      </w:pPr>
    </w:p>
    <w:tbl>
      <w:tblPr>
        <w:tblStyle w:val="Tabellenraster"/>
        <w:tblW w:w="0" w:type="auto"/>
        <w:tblInd w:w="79" w:type="dxa"/>
        <w:tblLook w:val="04A0" w:firstRow="1" w:lastRow="0" w:firstColumn="1" w:lastColumn="0" w:noHBand="0" w:noVBand="1"/>
      </w:tblPr>
      <w:tblGrid>
        <w:gridCol w:w="495"/>
        <w:gridCol w:w="3741"/>
        <w:gridCol w:w="511"/>
        <w:gridCol w:w="3617"/>
      </w:tblGrid>
      <w:tr w:rsidR="0043516C" w:rsidRPr="00044E23" w:rsidTr="0043516C">
        <w:tc>
          <w:tcPr>
            <w:tcW w:w="495"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741" w:type="dxa"/>
            <w:shd w:val="clear" w:color="auto" w:fill="66FF66"/>
          </w:tcPr>
          <w:p w:rsidR="0043516C" w:rsidRPr="00044E23" w:rsidRDefault="0043516C" w:rsidP="00F20BCF">
            <w:pPr>
              <w:rPr>
                <w:sz w:val="16"/>
                <w:szCs w:val="16"/>
                <w:lang w:val="en-GB"/>
              </w:rPr>
            </w:pPr>
            <w:r w:rsidRPr="00044E23">
              <w:rPr>
                <w:sz w:val="16"/>
                <w:szCs w:val="16"/>
                <w:lang w:val="en-GB"/>
              </w:rPr>
              <w:t>Obligation under DDPA</w:t>
            </w:r>
          </w:p>
        </w:tc>
        <w:tc>
          <w:tcPr>
            <w:tcW w:w="511"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617" w:type="dxa"/>
            <w:shd w:val="clear" w:color="auto" w:fill="66FF66"/>
          </w:tcPr>
          <w:p w:rsidR="0043516C" w:rsidRPr="00044E23" w:rsidRDefault="0043516C" w:rsidP="00F20BCF">
            <w:pPr>
              <w:rPr>
                <w:sz w:val="16"/>
                <w:szCs w:val="16"/>
                <w:lang w:val="en-GB"/>
              </w:rPr>
            </w:pPr>
            <w:r w:rsidRPr="00044E23">
              <w:rPr>
                <w:sz w:val="16"/>
                <w:szCs w:val="16"/>
                <w:lang w:val="en-GB"/>
              </w:rPr>
              <w:t>Obligation under EDPR</w:t>
            </w:r>
          </w:p>
        </w:tc>
      </w:tr>
      <w:tr w:rsidR="0043516C" w:rsidRPr="00044E23" w:rsidTr="0043516C">
        <w:trPr>
          <w:trHeight w:val="863"/>
        </w:trPr>
        <w:tc>
          <w:tcPr>
            <w:tcW w:w="495" w:type="dxa"/>
          </w:tcPr>
          <w:p w:rsidR="0043516C" w:rsidRPr="00044E23" w:rsidRDefault="0043516C" w:rsidP="00F20BCF">
            <w:pPr>
              <w:rPr>
                <w:sz w:val="16"/>
                <w:szCs w:val="16"/>
                <w:lang w:val="en-GB"/>
              </w:rPr>
            </w:pPr>
            <w:r w:rsidRPr="00044E23">
              <w:rPr>
                <w:sz w:val="16"/>
                <w:szCs w:val="16"/>
                <w:lang w:val="en-GB"/>
              </w:rPr>
              <w:t>13</w:t>
            </w:r>
          </w:p>
        </w:tc>
        <w:tc>
          <w:tcPr>
            <w:tcW w:w="3741" w:type="dxa"/>
          </w:tcPr>
          <w:p w:rsidR="0043516C" w:rsidRPr="00044E23" w:rsidRDefault="0043516C" w:rsidP="00F20BCF">
            <w:pPr>
              <w:rPr>
                <w:sz w:val="16"/>
                <w:szCs w:val="16"/>
                <w:lang w:val="en-GB"/>
              </w:rPr>
            </w:pPr>
            <w:r w:rsidRPr="00044E23">
              <w:rPr>
                <w:sz w:val="16"/>
                <w:szCs w:val="16"/>
                <w:lang w:val="en-GB"/>
              </w:rPr>
              <w:t>Assurances of suitable technical and organisational measures to protect personal data from loss or from any other form of unlawful processing.</w:t>
            </w:r>
          </w:p>
        </w:tc>
        <w:tc>
          <w:tcPr>
            <w:tcW w:w="511" w:type="dxa"/>
          </w:tcPr>
          <w:p w:rsidR="0043516C" w:rsidRPr="00044E23" w:rsidRDefault="0043516C" w:rsidP="00F20BCF">
            <w:pPr>
              <w:rPr>
                <w:sz w:val="16"/>
                <w:szCs w:val="16"/>
                <w:lang w:val="en-GB"/>
              </w:rPr>
            </w:pPr>
            <w:r w:rsidRPr="00044E23">
              <w:rPr>
                <w:sz w:val="16"/>
                <w:szCs w:val="16"/>
                <w:lang w:val="en-GB"/>
              </w:rPr>
              <w:t>30</w:t>
            </w:r>
          </w:p>
        </w:tc>
        <w:tc>
          <w:tcPr>
            <w:tcW w:w="3617" w:type="dxa"/>
          </w:tcPr>
          <w:p w:rsidR="0043516C" w:rsidRPr="00044E23" w:rsidRDefault="0043516C" w:rsidP="00F20BCF">
            <w:pPr>
              <w:rPr>
                <w:sz w:val="16"/>
                <w:szCs w:val="16"/>
                <w:lang w:val="en-GB"/>
              </w:rPr>
            </w:pPr>
            <w:r w:rsidRPr="00044E23">
              <w:rPr>
                <w:sz w:val="16"/>
                <w:szCs w:val="16"/>
                <w:lang w:val="en-GB"/>
              </w:rPr>
              <w:t>Assurances of an appropriate level of data security</w:t>
            </w:r>
          </w:p>
        </w:tc>
      </w:tr>
      <w:tr w:rsidR="00AA5C6F" w:rsidRPr="00044E23" w:rsidTr="00E16809">
        <w:tc>
          <w:tcPr>
            <w:tcW w:w="8364" w:type="dxa"/>
            <w:gridSpan w:val="4"/>
            <w:tcBorders>
              <w:top w:val="single" w:sz="4" w:space="0" w:color="auto"/>
              <w:bottom w:val="single" w:sz="4" w:space="0" w:color="auto"/>
            </w:tcBorders>
            <w:shd w:val="clear" w:color="auto" w:fill="CCFFCC"/>
          </w:tcPr>
          <w:p w:rsidR="002015E2" w:rsidRPr="00044E23" w:rsidRDefault="00AA5C6F" w:rsidP="002015E2">
            <w:pPr>
              <w:rPr>
                <w:i/>
                <w:sz w:val="16"/>
                <w:szCs w:val="16"/>
                <w:lang w:val="en-GB"/>
              </w:rPr>
            </w:pPr>
            <w:r w:rsidRPr="00044E23">
              <w:rPr>
                <w:i/>
                <w:sz w:val="16"/>
                <w:szCs w:val="16"/>
                <w:lang w:val="en-GB"/>
              </w:rPr>
              <w:t>The costs relating to this obligation could not be quantified and furthermore form part of a business's overhead costs.</w:t>
            </w:r>
          </w:p>
          <w:p w:rsidR="002015E2" w:rsidRPr="00044E23" w:rsidRDefault="002015E2" w:rsidP="002015E2">
            <w:pPr>
              <w:rPr>
                <w:i/>
                <w:sz w:val="16"/>
                <w:szCs w:val="16"/>
                <w:lang w:val="en-GB"/>
              </w:rPr>
            </w:pPr>
            <w:r w:rsidRPr="00044E23">
              <w:rPr>
                <w:i/>
                <w:sz w:val="16"/>
                <w:szCs w:val="16"/>
                <w:lang w:val="en-GB"/>
              </w:rPr>
              <w:t>The obligation in the EDPR is extended to the data processor regardless of their contract with the data controller. For the data processor, this could be a reason to take further security measures, and it is therefore assumed that complying with the obligations of the EDPR could lead to increased costs compared to the DDPA regime.</w:t>
            </w:r>
          </w:p>
          <w:p w:rsidR="002015E2" w:rsidRPr="00044E23" w:rsidRDefault="002015E2" w:rsidP="00772D8D">
            <w:pPr>
              <w:rPr>
                <w:i/>
                <w:sz w:val="16"/>
                <w:szCs w:val="16"/>
                <w:lang w:val="en-GB"/>
              </w:rPr>
            </w:pPr>
            <w:r w:rsidRPr="00044E23">
              <w:rPr>
                <w:i/>
                <w:sz w:val="16"/>
                <w:szCs w:val="16"/>
                <w:lang w:val="en-GB"/>
              </w:rPr>
              <w:t>The compulsory risk evaluation on which this obligation is based is explicitly mentioned in the EDPR. However, the obligation to carry out a risk evaluation already appears in the DDPA, albeit implicitly. Furthermore, a risk evaluation forms part of a business's overhead costs and these are not taken into account in the study. However, we do note here that the evaluation of a risk (i.e. probability x impact) is traditionally carried out from the perspective of risk to the organisation itself. The EDPR, on the other hand, looks at the issue from the perspective of risk to the personal data and the data subject.</w:t>
            </w:r>
          </w:p>
        </w:tc>
      </w:tr>
    </w:tbl>
    <w:p w:rsidR="0043516C" w:rsidRPr="00044E23" w:rsidRDefault="0043516C" w:rsidP="0043516C">
      <w:pPr>
        <w:rPr>
          <w:lang w:val="en-GB"/>
        </w:rPr>
      </w:pPr>
    </w:p>
    <w:tbl>
      <w:tblPr>
        <w:tblStyle w:val="Tabellenraster"/>
        <w:tblW w:w="0" w:type="auto"/>
        <w:tblInd w:w="79" w:type="dxa"/>
        <w:tblLook w:val="04A0" w:firstRow="1" w:lastRow="0" w:firstColumn="1" w:lastColumn="0" w:noHBand="0" w:noVBand="1"/>
      </w:tblPr>
      <w:tblGrid>
        <w:gridCol w:w="495"/>
        <w:gridCol w:w="3741"/>
        <w:gridCol w:w="511"/>
        <w:gridCol w:w="3617"/>
      </w:tblGrid>
      <w:tr w:rsidR="0043516C" w:rsidRPr="00044E23" w:rsidTr="0043516C">
        <w:tc>
          <w:tcPr>
            <w:tcW w:w="495"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741" w:type="dxa"/>
            <w:shd w:val="clear" w:color="auto" w:fill="66FF66"/>
          </w:tcPr>
          <w:p w:rsidR="0043516C" w:rsidRPr="00044E23" w:rsidRDefault="0043516C" w:rsidP="00F20BCF">
            <w:pPr>
              <w:rPr>
                <w:sz w:val="16"/>
                <w:szCs w:val="16"/>
                <w:lang w:val="en-GB"/>
              </w:rPr>
            </w:pPr>
            <w:r w:rsidRPr="00044E23">
              <w:rPr>
                <w:sz w:val="16"/>
                <w:szCs w:val="16"/>
                <w:lang w:val="en-GB"/>
              </w:rPr>
              <w:t>Obligation under DDPA</w:t>
            </w:r>
          </w:p>
        </w:tc>
        <w:tc>
          <w:tcPr>
            <w:tcW w:w="511"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617" w:type="dxa"/>
            <w:shd w:val="clear" w:color="auto" w:fill="66FF66"/>
          </w:tcPr>
          <w:p w:rsidR="0043516C" w:rsidRPr="00044E23" w:rsidRDefault="0043516C" w:rsidP="00F20BCF">
            <w:pPr>
              <w:rPr>
                <w:sz w:val="16"/>
                <w:szCs w:val="16"/>
                <w:lang w:val="en-GB"/>
              </w:rPr>
            </w:pPr>
            <w:r w:rsidRPr="00044E23">
              <w:rPr>
                <w:sz w:val="16"/>
                <w:szCs w:val="16"/>
                <w:lang w:val="en-GB"/>
              </w:rPr>
              <w:t>Obligation under EDPR</w:t>
            </w:r>
          </w:p>
        </w:tc>
      </w:tr>
      <w:tr w:rsidR="0043516C" w:rsidRPr="00044E23" w:rsidTr="0043516C">
        <w:tc>
          <w:tcPr>
            <w:tcW w:w="495" w:type="dxa"/>
          </w:tcPr>
          <w:p w:rsidR="0043516C" w:rsidRPr="00044E23" w:rsidRDefault="0043516C" w:rsidP="00F20BCF">
            <w:pPr>
              <w:rPr>
                <w:sz w:val="16"/>
                <w:szCs w:val="16"/>
                <w:lang w:val="en-GB"/>
              </w:rPr>
            </w:pPr>
            <w:r w:rsidRPr="00044E23">
              <w:rPr>
                <w:sz w:val="16"/>
                <w:szCs w:val="16"/>
                <w:lang w:val="en-GB"/>
              </w:rPr>
              <w:t>14</w:t>
            </w:r>
          </w:p>
        </w:tc>
        <w:tc>
          <w:tcPr>
            <w:tcW w:w="3741" w:type="dxa"/>
          </w:tcPr>
          <w:p w:rsidR="0043516C" w:rsidRPr="00044E23" w:rsidRDefault="0043516C" w:rsidP="00F20BCF">
            <w:pPr>
              <w:rPr>
                <w:sz w:val="16"/>
                <w:szCs w:val="16"/>
                <w:lang w:val="en-GB"/>
              </w:rPr>
            </w:pPr>
            <w:r w:rsidRPr="00044E23">
              <w:rPr>
                <w:sz w:val="16"/>
                <w:szCs w:val="16"/>
                <w:lang w:val="en-GB"/>
              </w:rPr>
              <w:t>Make a contract/legal transaction with the data processor</w:t>
            </w:r>
          </w:p>
        </w:tc>
        <w:tc>
          <w:tcPr>
            <w:tcW w:w="511" w:type="dxa"/>
          </w:tcPr>
          <w:p w:rsidR="0043516C" w:rsidRPr="00044E23" w:rsidRDefault="0043516C" w:rsidP="00F20BCF">
            <w:pPr>
              <w:rPr>
                <w:sz w:val="16"/>
                <w:szCs w:val="16"/>
                <w:lang w:val="en-GB"/>
              </w:rPr>
            </w:pPr>
            <w:r w:rsidRPr="00044E23">
              <w:rPr>
                <w:sz w:val="16"/>
                <w:szCs w:val="16"/>
                <w:lang w:val="en-GB"/>
              </w:rPr>
              <w:t>26</w:t>
            </w:r>
          </w:p>
        </w:tc>
        <w:tc>
          <w:tcPr>
            <w:tcW w:w="3617" w:type="dxa"/>
          </w:tcPr>
          <w:p w:rsidR="0043516C" w:rsidRPr="00044E23" w:rsidRDefault="0043516C" w:rsidP="00F20BCF">
            <w:pPr>
              <w:rPr>
                <w:sz w:val="16"/>
                <w:szCs w:val="16"/>
                <w:lang w:val="en-GB"/>
              </w:rPr>
            </w:pPr>
            <w:r w:rsidRPr="00044E23">
              <w:rPr>
                <w:sz w:val="16"/>
                <w:szCs w:val="16"/>
                <w:lang w:val="en-GB"/>
              </w:rPr>
              <w:t>Make contractual arrangements concerning processing operations by the data processor</w:t>
            </w:r>
          </w:p>
        </w:tc>
      </w:tr>
    </w:tbl>
    <w:p w:rsidR="0043516C" w:rsidRPr="00044E23" w:rsidRDefault="0043516C" w:rsidP="0043516C">
      <w:pPr>
        <w:rPr>
          <w:lang w:val="en-GB"/>
        </w:rPr>
      </w:pPr>
    </w:p>
    <w:tbl>
      <w:tblPr>
        <w:tblStyle w:val="Tabellenraster"/>
        <w:tblW w:w="0" w:type="auto"/>
        <w:tblInd w:w="79" w:type="dxa"/>
        <w:tblLook w:val="04A0" w:firstRow="1" w:lastRow="0" w:firstColumn="1" w:lastColumn="0" w:noHBand="0" w:noVBand="1"/>
      </w:tblPr>
      <w:tblGrid>
        <w:gridCol w:w="495"/>
        <w:gridCol w:w="3741"/>
        <w:gridCol w:w="511"/>
        <w:gridCol w:w="3617"/>
      </w:tblGrid>
      <w:tr w:rsidR="0043516C" w:rsidRPr="00044E23" w:rsidTr="0043516C">
        <w:tc>
          <w:tcPr>
            <w:tcW w:w="495"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741" w:type="dxa"/>
            <w:shd w:val="clear" w:color="auto" w:fill="66FF66"/>
          </w:tcPr>
          <w:p w:rsidR="0043516C" w:rsidRPr="00044E23" w:rsidRDefault="0043516C" w:rsidP="00F20BCF">
            <w:pPr>
              <w:rPr>
                <w:sz w:val="16"/>
                <w:szCs w:val="16"/>
                <w:lang w:val="en-GB"/>
              </w:rPr>
            </w:pPr>
            <w:r w:rsidRPr="00044E23">
              <w:rPr>
                <w:sz w:val="16"/>
                <w:szCs w:val="16"/>
                <w:lang w:val="en-GB"/>
              </w:rPr>
              <w:t>Obligation under DDPA</w:t>
            </w:r>
          </w:p>
        </w:tc>
        <w:tc>
          <w:tcPr>
            <w:tcW w:w="511"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617" w:type="dxa"/>
            <w:shd w:val="clear" w:color="auto" w:fill="66FF66"/>
          </w:tcPr>
          <w:p w:rsidR="0043516C" w:rsidRPr="00044E23" w:rsidRDefault="0043516C" w:rsidP="00F20BCF">
            <w:pPr>
              <w:rPr>
                <w:sz w:val="16"/>
                <w:szCs w:val="16"/>
                <w:lang w:val="en-GB"/>
              </w:rPr>
            </w:pPr>
            <w:r w:rsidRPr="00044E23">
              <w:rPr>
                <w:sz w:val="16"/>
                <w:szCs w:val="16"/>
                <w:lang w:val="en-GB"/>
              </w:rPr>
              <w:t>Obligation under EDPR</w:t>
            </w:r>
          </w:p>
        </w:tc>
      </w:tr>
      <w:tr w:rsidR="0043516C" w:rsidRPr="00044E23" w:rsidTr="0043516C">
        <w:tc>
          <w:tcPr>
            <w:tcW w:w="495" w:type="dxa"/>
          </w:tcPr>
          <w:p w:rsidR="0043516C" w:rsidRPr="00044E23" w:rsidRDefault="0043516C" w:rsidP="00F20BCF">
            <w:pPr>
              <w:rPr>
                <w:sz w:val="16"/>
                <w:szCs w:val="16"/>
                <w:lang w:val="en-GB"/>
              </w:rPr>
            </w:pPr>
            <w:r w:rsidRPr="00044E23">
              <w:rPr>
                <w:sz w:val="16"/>
                <w:szCs w:val="16"/>
                <w:lang w:val="en-GB"/>
              </w:rPr>
              <w:t>31</w:t>
            </w:r>
          </w:p>
        </w:tc>
        <w:tc>
          <w:tcPr>
            <w:tcW w:w="3741" w:type="dxa"/>
          </w:tcPr>
          <w:p w:rsidR="0043516C" w:rsidRPr="00044E23" w:rsidRDefault="0043516C" w:rsidP="00F20BCF">
            <w:pPr>
              <w:rPr>
                <w:sz w:val="16"/>
                <w:szCs w:val="16"/>
                <w:lang w:val="en-GB"/>
              </w:rPr>
            </w:pPr>
            <w:r w:rsidRPr="00044E23">
              <w:rPr>
                <w:sz w:val="16"/>
                <w:szCs w:val="16"/>
                <w:lang w:val="en-GB"/>
              </w:rPr>
              <w:t>Cooperate in prior study by the Dutch Data Protection Authority</w:t>
            </w:r>
          </w:p>
        </w:tc>
        <w:tc>
          <w:tcPr>
            <w:tcW w:w="511" w:type="dxa"/>
          </w:tcPr>
          <w:p w:rsidR="0043516C" w:rsidRPr="00044E23" w:rsidRDefault="0043516C" w:rsidP="00F20BCF">
            <w:pPr>
              <w:rPr>
                <w:sz w:val="16"/>
                <w:szCs w:val="16"/>
                <w:lang w:val="en-GB"/>
              </w:rPr>
            </w:pPr>
            <w:r w:rsidRPr="00044E23">
              <w:rPr>
                <w:sz w:val="16"/>
                <w:szCs w:val="16"/>
                <w:lang w:val="en-GB"/>
              </w:rPr>
              <w:t>34</w:t>
            </w:r>
          </w:p>
        </w:tc>
        <w:tc>
          <w:tcPr>
            <w:tcW w:w="3617" w:type="dxa"/>
          </w:tcPr>
          <w:p w:rsidR="0043516C" w:rsidRPr="00044E23" w:rsidRDefault="0043516C" w:rsidP="00F20BCF">
            <w:pPr>
              <w:rPr>
                <w:sz w:val="16"/>
                <w:szCs w:val="16"/>
                <w:lang w:val="en-GB"/>
              </w:rPr>
            </w:pPr>
            <w:r w:rsidRPr="00044E23">
              <w:rPr>
                <w:sz w:val="16"/>
                <w:szCs w:val="16"/>
                <w:lang w:val="en-GB"/>
              </w:rPr>
              <w:t>Cooperate with supervision by the supervisory authority</w:t>
            </w:r>
          </w:p>
        </w:tc>
      </w:tr>
    </w:tbl>
    <w:p w:rsidR="0043516C" w:rsidRPr="00044E23" w:rsidRDefault="0043516C" w:rsidP="0043516C">
      <w:pPr>
        <w:rPr>
          <w:lang w:val="en-GB"/>
        </w:rPr>
      </w:pPr>
    </w:p>
    <w:tbl>
      <w:tblPr>
        <w:tblStyle w:val="Tabellenraster"/>
        <w:tblW w:w="0" w:type="auto"/>
        <w:tblInd w:w="79" w:type="dxa"/>
        <w:tblLook w:val="04A0" w:firstRow="1" w:lastRow="0" w:firstColumn="1" w:lastColumn="0" w:noHBand="0" w:noVBand="1"/>
      </w:tblPr>
      <w:tblGrid>
        <w:gridCol w:w="495"/>
        <w:gridCol w:w="3741"/>
        <w:gridCol w:w="511"/>
        <w:gridCol w:w="3617"/>
      </w:tblGrid>
      <w:tr w:rsidR="0043516C" w:rsidRPr="00044E23" w:rsidTr="00CA4165">
        <w:tc>
          <w:tcPr>
            <w:tcW w:w="495"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741" w:type="dxa"/>
            <w:shd w:val="clear" w:color="auto" w:fill="66FF66"/>
          </w:tcPr>
          <w:p w:rsidR="0043516C" w:rsidRPr="00044E23" w:rsidRDefault="0043516C" w:rsidP="00F20BCF">
            <w:pPr>
              <w:rPr>
                <w:sz w:val="16"/>
                <w:szCs w:val="16"/>
                <w:lang w:val="en-GB"/>
              </w:rPr>
            </w:pPr>
            <w:r w:rsidRPr="00044E23">
              <w:rPr>
                <w:sz w:val="16"/>
                <w:szCs w:val="16"/>
                <w:lang w:val="en-GB"/>
              </w:rPr>
              <w:t>Obligation under DDPA</w:t>
            </w:r>
          </w:p>
        </w:tc>
        <w:tc>
          <w:tcPr>
            <w:tcW w:w="511"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617" w:type="dxa"/>
            <w:shd w:val="clear" w:color="auto" w:fill="66FF66"/>
          </w:tcPr>
          <w:p w:rsidR="0043516C" w:rsidRPr="00044E23" w:rsidRDefault="0043516C" w:rsidP="00F20BCF">
            <w:pPr>
              <w:rPr>
                <w:sz w:val="16"/>
                <w:szCs w:val="16"/>
                <w:lang w:val="en-GB"/>
              </w:rPr>
            </w:pPr>
            <w:r w:rsidRPr="00044E23">
              <w:rPr>
                <w:sz w:val="16"/>
                <w:szCs w:val="16"/>
                <w:lang w:val="en-GB"/>
              </w:rPr>
              <w:t>Obligation under EDPR</w:t>
            </w:r>
          </w:p>
        </w:tc>
      </w:tr>
      <w:tr w:rsidR="0043516C" w:rsidRPr="00044E23" w:rsidTr="00CA4165">
        <w:tc>
          <w:tcPr>
            <w:tcW w:w="495" w:type="dxa"/>
            <w:tcBorders>
              <w:bottom w:val="single" w:sz="4" w:space="0" w:color="auto"/>
            </w:tcBorders>
          </w:tcPr>
          <w:p w:rsidR="0043516C" w:rsidRPr="00044E23" w:rsidRDefault="0043516C" w:rsidP="00F20BCF">
            <w:pPr>
              <w:rPr>
                <w:sz w:val="16"/>
                <w:szCs w:val="16"/>
                <w:lang w:val="en-GB"/>
              </w:rPr>
            </w:pPr>
            <w:r w:rsidRPr="00044E23">
              <w:rPr>
                <w:sz w:val="16"/>
                <w:szCs w:val="16"/>
                <w:lang w:val="en-GB"/>
              </w:rPr>
              <w:t>33-34</w:t>
            </w:r>
          </w:p>
        </w:tc>
        <w:tc>
          <w:tcPr>
            <w:tcW w:w="3741" w:type="dxa"/>
            <w:tcBorders>
              <w:bottom w:val="single" w:sz="4" w:space="0" w:color="auto"/>
            </w:tcBorders>
          </w:tcPr>
          <w:p w:rsidR="0043516C" w:rsidRPr="00044E23" w:rsidRDefault="0043516C" w:rsidP="00F20BCF">
            <w:pPr>
              <w:rPr>
                <w:sz w:val="16"/>
                <w:szCs w:val="16"/>
                <w:lang w:val="en-GB"/>
              </w:rPr>
            </w:pPr>
            <w:r w:rsidRPr="00044E23">
              <w:rPr>
                <w:sz w:val="16"/>
                <w:szCs w:val="16"/>
                <w:lang w:val="en-GB"/>
              </w:rPr>
              <w:t>Notify the data subject of the identity, purpose of the processing and additional informative (active)</w:t>
            </w:r>
          </w:p>
        </w:tc>
        <w:tc>
          <w:tcPr>
            <w:tcW w:w="511" w:type="dxa"/>
            <w:tcBorders>
              <w:bottom w:val="single" w:sz="4" w:space="0" w:color="auto"/>
            </w:tcBorders>
          </w:tcPr>
          <w:p w:rsidR="0043516C" w:rsidRPr="00044E23" w:rsidRDefault="0043516C" w:rsidP="00F20BCF">
            <w:pPr>
              <w:rPr>
                <w:sz w:val="16"/>
                <w:szCs w:val="16"/>
                <w:lang w:val="en-GB"/>
              </w:rPr>
            </w:pPr>
            <w:r w:rsidRPr="00044E23">
              <w:rPr>
                <w:sz w:val="16"/>
                <w:szCs w:val="16"/>
                <w:lang w:val="en-GB"/>
              </w:rPr>
              <w:t>14</w:t>
            </w:r>
          </w:p>
        </w:tc>
        <w:tc>
          <w:tcPr>
            <w:tcW w:w="3617" w:type="dxa"/>
            <w:tcBorders>
              <w:bottom w:val="single" w:sz="4" w:space="0" w:color="auto"/>
            </w:tcBorders>
          </w:tcPr>
          <w:p w:rsidR="0043516C" w:rsidRPr="00044E23" w:rsidRDefault="0043516C" w:rsidP="00F20BCF">
            <w:pPr>
              <w:rPr>
                <w:sz w:val="16"/>
                <w:szCs w:val="16"/>
                <w:lang w:val="en-GB"/>
              </w:rPr>
            </w:pPr>
            <w:r w:rsidRPr="00044E23">
              <w:rPr>
                <w:sz w:val="16"/>
                <w:szCs w:val="16"/>
                <w:lang w:val="en-GB"/>
              </w:rPr>
              <w:t>Provide the data subject with all information and notices on the processing of personal data (active)</w:t>
            </w:r>
          </w:p>
        </w:tc>
      </w:tr>
      <w:tr w:rsidR="0043516C" w:rsidRPr="00044E23" w:rsidTr="00CA4165">
        <w:tc>
          <w:tcPr>
            <w:tcW w:w="8364" w:type="dxa"/>
            <w:gridSpan w:val="4"/>
            <w:tcBorders>
              <w:top w:val="single" w:sz="4" w:space="0" w:color="auto"/>
              <w:bottom w:val="single" w:sz="4" w:space="0" w:color="auto"/>
            </w:tcBorders>
            <w:shd w:val="clear" w:color="auto" w:fill="CCFFCC"/>
          </w:tcPr>
          <w:p w:rsidR="007B275F" w:rsidRPr="00044E23" w:rsidRDefault="00475FAC" w:rsidP="00AA69EC">
            <w:pPr>
              <w:rPr>
                <w:i/>
                <w:sz w:val="16"/>
                <w:szCs w:val="16"/>
                <w:lang w:val="en-GB"/>
              </w:rPr>
            </w:pPr>
            <w:r w:rsidRPr="00044E23">
              <w:rPr>
                <w:i/>
                <w:sz w:val="16"/>
                <w:szCs w:val="16"/>
                <w:lang w:val="en-GB"/>
              </w:rPr>
              <w:t>The costs of this obligation could not be quantified. During the study, it was found that businesses are unable to indicate what costs they will incur to comply with this obligation. Similarly, in previous studies it was also impossible to quantify the costs for complying with this obligation. However, the information provision required by the DDPA is less extensive than that required by the EDPR; it is therefore assumed that the costs of complying with the obligation in the EDPR will be higher than under the DDPA.</w:t>
            </w:r>
          </w:p>
        </w:tc>
      </w:tr>
    </w:tbl>
    <w:p w:rsidR="0043516C" w:rsidRPr="00044E23" w:rsidRDefault="0043516C" w:rsidP="0043516C">
      <w:pPr>
        <w:rPr>
          <w:lang w:val="en-GB"/>
        </w:rPr>
      </w:pPr>
    </w:p>
    <w:p w:rsidR="00C34381" w:rsidRPr="00044E23" w:rsidRDefault="00C34381">
      <w:pPr>
        <w:rPr>
          <w:lang w:val="en-GB"/>
        </w:rPr>
      </w:pPr>
      <w:r w:rsidRPr="00044E23">
        <w:rPr>
          <w:lang w:val="en-GB"/>
        </w:rPr>
        <w:br w:type="page"/>
      </w:r>
    </w:p>
    <w:tbl>
      <w:tblPr>
        <w:tblStyle w:val="Tabellenraster"/>
        <w:tblW w:w="8364" w:type="dxa"/>
        <w:tblInd w:w="108" w:type="dxa"/>
        <w:tblLook w:val="04A0" w:firstRow="1" w:lastRow="0" w:firstColumn="1" w:lastColumn="0" w:noHBand="0" w:noVBand="1"/>
      </w:tblPr>
      <w:tblGrid>
        <w:gridCol w:w="495"/>
        <w:gridCol w:w="3741"/>
        <w:gridCol w:w="511"/>
        <w:gridCol w:w="3617"/>
      </w:tblGrid>
      <w:tr w:rsidR="0043516C" w:rsidRPr="00044E23" w:rsidTr="00CA4165">
        <w:tc>
          <w:tcPr>
            <w:tcW w:w="495"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741" w:type="dxa"/>
            <w:shd w:val="clear" w:color="auto" w:fill="66FF66"/>
          </w:tcPr>
          <w:p w:rsidR="0043516C" w:rsidRPr="00044E23" w:rsidRDefault="0043516C" w:rsidP="00F20BCF">
            <w:pPr>
              <w:rPr>
                <w:sz w:val="16"/>
                <w:szCs w:val="16"/>
                <w:lang w:val="en-GB"/>
              </w:rPr>
            </w:pPr>
            <w:r w:rsidRPr="00044E23">
              <w:rPr>
                <w:sz w:val="16"/>
                <w:szCs w:val="16"/>
                <w:lang w:val="en-GB"/>
              </w:rPr>
              <w:t>Obligation under DDPA</w:t>
            </w:r>
          </w:p>
        </w:tc>
        <w:tc>
          <w:tcPr>
            <w:tcW w:w="511"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617" w:type="dxa"/>
            <w:shd w:val="clear" w:color="auto" w:fill="66FF66"/>
          </w:tcPr>
          <w:p w:rsidR="0043516C" w:rsidRPr="00044E23" w:rsidRDefault="0043516C" w:rsidP="00F20BCF">
            <w:pPr>
              <w:rPr>
                <w:sz w:val="16"/>
                <w:szCs w:val="16"/>
                <w:lang w:val="en-GB"/>
              </w:rPr>
            </w:pPr>
            <w:r w:rsidRPr="00044E23">
              <w:rPr>
                <w:sz w:val="16"/>
                <w:szCs w:val="16"/>
                <w:lang w:val="en-GB"/>
              </w:rPr>
              <w:t>Obligation under EDPR</w:t>
            </w:r>
          </w:p>
        </w:tc>
      </w:tr>
      <w:tr w:rsidR="0043516C" w:rsidRPr="00044E23" w:rsidTr="00CA4165">
        <w:tc>
          <w:tcPr>
            <w:tcW w:w="495" w:type="dxa"/>
            <w:vMerge w:val="restart"/>
          </w:tcPr>
          <w:p w:rsidR="0043516C" w:rsidRPr="00044E23" w:rsidRDefault="0043516C" w:rsidP="00F20BCF">
            <w:pPr>
              <w:rPr>
                <w:sz w:val="16"/>
                <w:szCs w:val="16"/>
                <w:lang w:val="en-GB"/>
              </w:rPr>
            </w:pPr>
            <w:r w:rsidRPr="00044E23">
              <w:rPr>
                <w:sz w:val="16"/>
                <w:szCs w:val="16"/>
                <w:lang w:val="en-GB"/>
              </w:rPr>
              <w:t>35</w:t>
            </w:r>
          </w:p>
        </w:tc>
        <w:tc>
          <w:tcPr>
            <w:tcW w:w="3741" w:type="dxa"/>
            <w:vMerge w:val="restart"/>
          </w:tcPr>
          <w:p w:rsidR="0043516C" w:rsidRPr="00044E23" w:rsidRDefault="0043516C" w:rsidP="00F20BCF">
            <w:pPr>
              <w:rPr>
                <w:sz w:val="16"/>
                <w:szCs w:val="16"/>
                <w:lang w:val="en-GB"/>
              </w:rPr>
            </w:pPr>
            <w:r w:rsidRPr="00044E23">
              <w:rPr>
                <w:sz w:val="16"/>
                <w:szCs w:val="16"/>
                <w:lang w:val="en-GB"/>
              </w:rPr>
              <w:t>Inform the data subject whether personal data is processed and provide data (passive)</w:t>
            </w:r>
          </w:p>
        </w:tc>
        <w:tc>
          <w:tcPr>
            <w:tcW w:w="511" w:type="dxa"/>
          </w:tcPr>
          <w:p w:rsidR="0043516C" w:rsidRPr="00044E23" w:rsidRDefault="0043516C" w:rsidP="00F20BCF">
            <w:pPr>
              <w:rPr>
                <w:sz w:val="16"/>
                <w:szCs w:val="16"/>
                <w:lang w:val="en-GB"/>
              </w:rPr>
            </w:pPr>
            <w:r w:rsidRPr="00044E23">
              <w:rPr>
                <w:sz w:val="16"/>
                <w:szCs w:val="16"/>
                <w:lang w:val="en-GB"/>
              </w:rPr>
              <w:t>12</w:t>
            </w:r>
          </w:p>
        </w:tc>
        <w:tc>
          <w:tcPr>
            <w:tcW w:w="3617" w:type="dxa"/>
          </w:tcPr>
          <w:p w:rsidR="0043516C" w:rsidRPr="00044E23" w:rsidRDefault="0043516C" w:rsidP="00F20BCF">
            <w:pPr>
              <w:rPr>
                <w:sz w:val="16"/>
                <w:szCs w:val="16"/>
                <w:lang w:val="en-GB"/>
              </w:rPr>
            </w:pPr>
            <w:r w:rsidRPr="00044E23">
              <w:rPr>
                <w:sz w:val="16"/>
                <w:szCs w:val="16"/>
                <w:lang w:val="en-GB"/>
              </w:rPr>
              <w:t>Inform the data subject of actions following a request to provide information</w:t>
            </w:r>
          </w:p>
        </w:tc>
      </w:tr>
      <w:tr w:rsidR="0043516C" w:rsidRPr="00044E23" w:rsidTr="00CA4165">
        <w:tc>
          <w:tcPr>
            <w:tcW w:w="495" w:type="dxa"/>
            <w:vMerge/>
            <w:tcBorders>
              <w:bottom w:val="single" w:sz="4" w:space="0" w:color="auto"/>
            </w:tcBorders>
          </w:tcPr>
          <w:p w:rsidR="0043516C" w:rsidRPr="00044E23" w:rsidRDefault="0043516C" w:rsidP="00F20BCF">
            <w:pPr>
              <w:rPr>
                <w:sz w:val="16"/>
                <w:szCs w:val="16"/>
                <w:lang w:val="en-GB"/>
              </w:rPr>
            </w:pPr>
          </w:p>
        </w:tc>
        <w:tc>
          <w:tcPr>
            <w:tcW w:w="3741" w:type="dxa"/>
            <w:vMerge/>
            <w:tcBorders>
              <w:bottom w:val="single" w:sz="4" w:space="0" w:color="auto"/>
            </w:tcBorders>
          </w:tcPr>
          <w:p w:rsidR="0043516C" w:rsidRPr="00044E23" w:rsidRDefault="0043516C" w:rsidP="00F20BCF">
            <w:pPr>
              <w:rPr>
                <w:sz w:val="16"/>
                <w:szCs w:val="16"/>
                <w:lang w:val="en-GB"/>
              </w:rPr>
            </w:pPr>
          </w:p>
        </w:tc>
        <w:tc>
          <w:tcPr>
            <w:tcW w:w="511" w:type="dxa"/>
            <w:tcBorders>
              <w:bottom w:val="single" w:sz="4" w:space="0" w:color="auto"/>
            </w:tcBorders>
          </w:tcPr>
          <w:p w:rsidR="0043516C" w:rsidRPr="00044E23" w:rsidRDefault="0043516C" w:rsidP="00F20BCF">
            <w:pPr>
              <w:rPr>
                <w:sz w:val="16"/>
                <w:szCs w:val="16"/>
                <w:lang w:val="en-GB"/>
              </w:rPr>
            </w:pPr>
            <w:r w:rsidRPr="00044E23">
              <w:rPr>
                <w:sz w:val="16"/>
                <w:szCs w:val="16"/>
                <w:lang w:val="en-GB"/>
              </w:rPr>
              <w:t>15</w:t>
            </w:r>
          </w:p>
        </w:tc>
        <w:tc>
          <w:tcPr>
            <w:tcW w:w="3617" w:type="dxa"/>
            <w:tcBorders>
              <w:bottom w:val="single" w:sz="4" w:space="0" w:color="auto"/>
            </w:tcBorders>
          </w:tcPr>
          <w:p w:rsidR="0043516C" w:rsidRPr="00044E23" w:rsidRDefault="0043516C" w:rsidP="00F20BCF">
            <w:pPr>
              <w:rPr>
                <w:sz w:val="16"/>
                <w:szCs w:val="16"/>
                <w:lang w:val="en-GB"/>
              </w:rPr>
            </w:pPr>
            <w:r w:rsidRPr="00044E23">
              <w:rPr>
                <w:sz w:val="16"/>
                <w:szCs w:val="16"/>
                <w:lang w:val="en-GB"/>
              </w:rPr>
              <w:t>Provide the data subject with confirmation of whether personal data is processed and provide data (passive)</w:t>
            </w:r>
          </w:p>
        </w:tc>
      </w:tr>
      <w:tr w:rsidR="0043516C" w:rsidRPr="00044E23" w:rsidTr="00CA4165">
        <w:tc>
          <w:tcPr>
            <w:tcW w:w="8364" w:type="dxa"/>
            <w:gridSpan w:val="4"/>
            <w:tcBorders>
              <w:top w:val="single" w:sz="4" w:space="0" w:color="auto"/>
              <w:bottom w:val="single" w:sz="4" w:space="0" w:color="auto"/>
            </w:tcBorders>
            <w:shd w:val="clear" w:color="auto" w:fill="CCFFCC"/>
          </w:tcPr>
          <w:p w:rsidR="0043516C" w:rsidRPr="00044E23" w:rsidRDefault="00282DD0" w:rsidP="00C04F4E">
            <w:pPr>
              <w:rPr>
                <w:i/>
                <w:sz w:val="16"/>
                <w:szCs w:val="16"/>
                <w:lang w:val="en-GB"/>
              </w:rPr>
            </w:pPr>
            <w:r w:rsidRPr="00044E23">
              <w:rPr>
                <w:i/>
                <w:sz w:val="16"/>
                <w:szCs w:val="16"/>
                <w:lang w:val="en-GB"/>
              </w:rPr>
              <w:t>The costs are comparable. The information provision required by the DDPA is less extensive than that required by the EDPR; it is therefore assumed that the costs of complying with the obligation in the EDPR will be higher than under the DDPA. This increase in cost, however, cannot be quantified.</w:t>
            </w:r>
          </w:p>
          <w:p w:rsidR="0075190D" w:rsidRPr="00044E23" w:rsidRDefault="007B275F" w:rsidP="00055A26">
            <w:pPr>
              <w:rPr>
                <w:i/>
                <w:sz w:val="16"/>
                <w:szCs w:val="16"/>
                <w:lang w:val="en-GB"/>
              </w:rPr>
            </w:pPr>
            <w:r w:rsidRPr="00044E23">
              <w:rPr>
                <w:i/>
                <w:sz w:val="16"/>
                <w:szCs w:val="16"/>
                <w:lang w:val="en-GB"/>
              </w:rPr>
              <w:t>The assumption for the calculation is that small businesses (less than 200 employees) will have to comply with this requirement once a year, while large businesses (more than 200 employees) will have to comply 10 times a year. This is a conservative estimate.</w:t>
            </w:r>
          </w:p>
        </w:tc>
      </w:tr>
    </w:tbl>
    <w:p w:rsidR="0043516C" w:rsidRPr="00044E23" w:rsidRDefault="0043516C" w:rsidP="0043516C">
      <w:pPr>
        <w:rPr>
          <w:lang w:val="en-GB"/>
        </w:rPr>
      </w:pPr>
    </w:p>
    <w:tbl>
      <w:tblPr>
        <w:tblStyle w:val="Tabellenraster"/>
        <w:tblW w:w="8364" w:type="dxa"/>
        <w:tblInd w:w="108" w:type="dxa"/>
        <w:tblLook w:val="04A0" w:firstRow="1" w:lastRow="0" w:firstColumn="1" w:lastColumn="0" w:noHBand="0" w:noVBand="1"/>
      </w:tblPr>
      <w:tblGrid>
        <w:gridCol w:w="495"/>
        <w:gridCol w:w="3741"/>
        <w:gridCol w:w="511"/>
        <w:gridCol w:w="3617"/>
      </w:tblGrid>
      <w:tr w:rsidR="0043516C" w:rsidRPr="00044E23" w:rsidTr="0043516C">
        <w:tc>
          <w:tcPr>
            <w:tcW w:w="495"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741" w:type="dxa"/>
            <w:shd w:val="clear" w:color="auto" w:fill="66FF66"/>
          </w:tcPr>
          <w:p w:rsidR="0043516C" w:rsidRPr="00044E23" w:rsidRDefault="0043516C" w:rsidP="00F20BCF">
            <w:pPr>
              <w:rPr>
                <w:sz w:val="16"/>
                <w:szCs w:val="16"/>
                <w:lang w:val="en-GB"/>
              </w:rPr>
            </w:pPr>
            <w:r w:rsidRPr="00044E23">
              <w:rPr>
                <w:sz w:val="16"/>
                <w:szCs w:val="16"/>
                <w:lang w:val="en-GB"/>
              </w:rPr>
              <w:t>Obligation under DDPA</w:t>
            </w:r>
          </w:p>
        </w:tc>
        <w:tc>
          <w:tcPr>
            <w:tcW w:w="511"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617" w:type="dxa"/>
            <w:shd w:val="clear" w:color="auto" w:fill="66FF66"/>
          </w:tcPr>
          <w:p w:rsidR="0043516C" w:rsidRPr="00044E23" w:rsidRDefault="0043516C" w:rsidP="00F20BCF">
            <w:pPr>
              <w:rPr>
                <w:sz w:val="16"/>
                <w:szCs w:val="16"/>
                <w:lang w:val="en-GB"/>
              </w:rPr>
            </w:pPr>
            <w:r w:rsidRPr="00044E23">
              <w:rPr>
                <w:sz w:val="16"/>
                <w:szCs w:val="16"/>
                <w:lang w:val="en-GB"/>
              </w:rPr>
              <w:t>Obligation under EDPR</w:t>
            </w:r>
          </w:p>
        </w:tc>
      </w:tr>
      <w:tr w:rsidR="0043516C" w:rsidRPr="00044E23" w:rsidTr="0043516C">
        <w:tc>
          <w:tcPr>
            <w:tcW w:w="495" w:type="dxa"/>
            <w:vMerge w:val="restart"/>
          </w:tcPr>
          <w:p w:rsidR="0043516C" w:rsidRPr="00044E23" w:rsidRDefault="0043516C" w:rsidP="00F20BCF">
            <w:pPr>
              <w:rPr>
                <w:sz w:val="16"/>
                <w:szCs w:val="16"/>
                <w:lang w:val="en-GB"/>
              </w:rPr>
            </w:pPr>
            <w:r w:rsidRPr="00044E23">
              <w:rPr>
                <w:sz w:val="16"/>
                <w:szCs w:val="16"/>
                <w:lang w:val="en-GB"/>
              </w:rPr>
              <w:t>36</w:t>
            </w:r>
          </w:p>
        </w:tc>
        <w:tc>
          <w:tcPr>
            <w:tcW w:w="3741" w:type="dxa"/>
            <w:vMerge w:val="restart"/>
          </w:tcPr>
          <w:p w:rsidR="0043516C" w:rsidRPr="00044E23" w:rsidRDefault="0043516C" w:rsidP="00F20BCF">
            <w:pPr>
              <w:rPr>
                <w:sz w:val="16"/>
                <w:szCs w:val="16"/>
                <w:lang w:val="en-GB"/>
              </w:rPr>
            </w:pPr>
            <w:r w:rsidRPr="00044E23">
              <w:rPr>
                <w:sz w:val="16"/>
                <w:szCs w:val="16"/>
                <w:lang w:val="en-GB"/>
              </w:rPr>
              <w:t>Respond to requests from data subject to change personal data and execute change</w:t>
            </w:r>
          </w:p>
        </w:tc>
        <w:tc>
          <w:tcPr>
            <w:tcW w:w="511" w:type="dxa"/>
          </w:tcPr>
          <w:p w:rsidR="0043516C" w:rsidRPr="00044E23" w:rsidRDefault="0043516C" w:rsidP="00F20BCF">
            <w:pPr>
              <w:rPr>
                <w:sz w:val="16"/>
                <w:szCs w:val="16"/>
                <w:lang w:val="en-GB"/>
              </w:rPr>
            </w:pPr>
            <w:r w:rsidRPr="00044E23">
              <w:rPr>
                <w:sz w:val="16"/>
                <w:szCs w:val="16"/>
                <w:lang w:val="en-GB"/>
              </w:rPr>
              <w:t>12</w:t>
            </w:r>
          </w:p>
        </w:tc>
        <w:tc>
          <w:tcPr>
            <w:tcW w:w="3617" w:type="dxa"/>
          </w:tcPr>
          <w:p w:rsidR="0043516C" w:rsidRPr="00044E23" w:rsidRDefault="0043516C" w:rsidP="00F20BCF">
            <w:pPr>
              <w:rPr>
                <w:sz w:val="16"/>
                <w:szCs w:val="16"/>
                <w:lang w:val="en-GB"/>
              </w:rPr>
            </w:pPr>
            <w:r w:rsidRPr="00044E23">
              <w:rPr>
                <w:sz w:val="16"/>
                <w:szCs w:val="16"/>
                <w:lang w:val="en-GB"/>
              </w:rPr>
              <w:t>Inform the data subject of actions following a request to provide information</w:t>
            </w:r>
          </w:p>
        </w:tc>
      </w:tr>
      <w:tr w:rsidR="0043516C" w:rsidRPr="00044E23" w:rsidTr="0043516C">
        <w:tc>
          <w:tcPr>
            <w:tcW w:w="495" w:type="dxa"/>
            <w:vMerge/>
          </w:tcPr>
          <w:p w:rsidR="0043516C" w:rsidRPr="00044E23" w:rsidRDefault="0043516C" w:rsidP="00F20BCF">
            <w:pPr>
              <w:rPr>
                <w:sz w:val="16"/>
                <w:szCs w:val="16"/>
                <w:lang w:val="en-GB"/>
              </w:rPr>
            </w:pPr>
          </w:p>
        </w:tc>
        <w:tc>
          <w:tcPr>
            <w:tcW w:w="3741" w:type="dxa"/>
            <w:vMerge/>
          </w:tcPr>
          <w:p w:rsidR="0043516C" w:rsidRPr="00044E23" w:rsidRDefault="0043516C" w:rsidP="00F20BCF">
            <w:pPr>
              <w:rPr>
                <w:sz w:val="16"/>
                <w:szCs w:val="16"/>
                <w:lang w:val="en-GB"/>
              </w:rPr>
            </w:pPr>
          </w:p>
        </w:tc>
        <w:tc>
          <w:tcPr>
            <w:tcW w:w="511" w:type="dxa"/>
          </w:tcPr>
          <w:p w:rsidR="0043516C" w:rsidRPr="00044E23" w:rsidRDefault="0043516C" w:rsidP="00F20BCF">
            <w:pPr>
              <w:rPr>
                <w:sz w:val="16"/>
                <w:szCs w:val="16"/>
                <w:lang w:val="en-GB"/>
              </w:rPr>
            </w:pPr>
            <w:r w:rsidRPr="00044E23">
              <w:rPr>
                <w:sz w:val="16"/>
                <w:szCs w:val="16"/>
                <w:lang w:val="en-GB"/>
              </w:rPr>
              <w:t>16</w:t>
            </w:r>
          </w:p>
        </w:tc>
        <w:tc>
          <w:tcPr>
            <w:tcW w:w="3617" w:type="dxa"/>
          </w:tcPr>
          <w:p w:rsidR="0043516C" w:rsidRPr="00044E23" w:rsidRDefault="0043516C" w:rsidP="00F20BCF">
            <w:pPr>
              <w:rPr>
                <w:sz w:val="16"/>
                <w:szCs w:val="16"/>
                <w:lang w:val="en-GB"/>
              </w:rPr>
            </w:pPr>
            <w:r w:rsidRPr="00044E23">
              <w:rPr>
                <w:sz w:val="16"/>
                <w:szCs w:val="16"/>
                <w:lang w:val="en-GB"/>
              </w:rPr>
              <w:t>Rectification or completion of personal data</w:t>
            </w:r>
          </w:p>
        </w:tc>
      </w:tr>
      <w:tr w:rsidR="0043516C" w:rsidRPr="00044E23" w:rsidTr="0043516C">
        <w:tc>
          <w:tcPr>
            <w:tcW w:w="495" w:type="dxa"/>
            <w:vMerge/>
            <w:tcBorders>
              <w:bottom w:val="single" w:sz="4" w:space="0" w:color="auto"/>
            </w:tcBorders>
          </w:tcPr>
          <w:p w:rsidR="0043516C" w:rsidRPr="00044E23" w:rsidRDefault="0043516C" w:rsidP="00F20BCF">
            <w:pPr>
              <w:rPr>
                <w:sz w:val="16"/>
                <w:szCs w:val="16"/>
                <w:lang w:val="en-GB"/>
              </w:rPr>
            </w:pPr>
          </w:p>
        </w:tc>
        <w:tc>
          <w:tcPr>
            <w:tcW w:w="3741" w:type="dxa"/>
            <w:vMerge/>
            <w:tcBorders>
              <w:bottom w:val="single" w:sz="4" w:space="0" w:color="auto"/>
            </w:tcBorders>
          </w:tcPr>
          <w:p w:rsidR="0043516C" w:rsidRPr="00044E23" w:rsidRDefault="0043516C" w:rsidP="00F20BCF">
            <w:pPr>
              <w:rPr>
                <w:sz w:val="16"/>
                <w:szCs w:val="16"/>
                <w:lang w:val="en-GB"/>
              </w:rPr>
            </w:pPr>
          </w:p>
        </w:tc>
        <w:tc>
          <w:tcPr>
            <w:tcW w:w="511" w:type="dxa"/>
            <w:tcBorders>
              <w:bottom w:val="single" w:sz="4" w:space="0" w:color="auto"/>
            </w:tcBorders>
          </w:tcPr>
          <w:p w:rsidR="0043516C" w:rsidRPr="00044E23" w:rsidRDefault="0043516C" w:rsidP="00F20BCF">
            <w:pPr>
              <w:rPr>
                <w:sz w:val="16"/>
                <w:szCs w:val="16"/>
                <w:lang w:val="en-GB"/>
              </w:rPr>
            </w:pPr>
            <w:r w:rsidRPr="00044E23">
              <w:rPr>
                <w:sz w:val="16"/>
                <w:szCs w:val="16"/>
                <w:lang w:val="en-GB"/>
              </w:rPr>
              <w:t>17</w:t>
            </w:r>
          </w:p>
        </w:tc>
        <w:tc>
          <w:tcPr>
            <w:tcW w:w="3617" w:type="dxa"/>
            <w:tcBorders>
              <w:bottom w:val="single" w:sz="4" w:space="0" w:color="auto"/>
            </w:tcBorders>
          </w:tcPr>
          <w:p w:rsidR="0043516C" w:rsidRPr="00044E23" w:rsidRDefault="0043516C" w:rsidP="00F20BCF">
            <w:pPr>
              <w:rPr>
                <w:sz w:val="16"/>
                <w:szCs w:val="16"/>
                <w:lang w:val="en-GB"/>
              </w:rPr>
            </w:pPr>
            <w:r w:rsidRPr="00044E23">
              <w:rPr>
                <w:sz w:val="16"/>
                <w:szCs w:val="16"/>
                <w:lang w:val="en-GB"/>
              </w:rPr>
              <w:t>Erasure and abstention from further dissemination of personal data or restricted processing of data</w:t>
            </w:r>
          </w:p>
        </w:tc>
      </w:tr>
      <w:tr w:rsidR="0043516C" w:rsidRPr="00044E23" w:rsidTr="0043516C">
        <w:tc>
          <w:tcPr>
            <w:tcW w:w="8364" w:type="dxa"/>
            <w:gridSpan w:val="4"/>
            <w:tcBorders>
              <w:top w:val="single" w:sz="4" w:space="0" w:color="auto"/>
              <w:bottom w:val="single" w:sz="4" w:space="0" w:color="auto"/>
            </w:tcBorders>
            <w:shd w:val="clear" w:color="auto" w:fill="CCFFCC"/>
          </w:tcPr>
          <w:p w:rsidR="0043516C" w:rsidRPr="00044E23" w:rsidRDefault="00C84B10" w:rsidP="00F20BCF">
            <w:pPr>
              <w:rPr>
                <w:i/>
                <w:sz w:val="16"/>
                <w:szCs w:val="16"/>
                <w:lang w:val="en-GB"/>
              </w:rPr>
            </w:pPr>
            <w:r w:rsidRPr="00044E23">
              <w:rPr>
                <w:i/>
                <w:sz w:val="16"/>
                <w:szCs w:val="16"/>
                <w:lang w:val="en-GB"/>
              </w:rPr>
              <w:t>The costs arising from this obligation could not be separately quantified. In the EDPR, the data controller must, however, conduct further research in order to prevent further dissemination of data (by third parties) (in connection with the right to be forgotten); the assumption is that the costs of complying with this obligation will be higher for the EDPR than under the DDPA regime.</w:t>
            </w:r>
          </w:p>
          <w:p w:rsidR="00C87DE3" w:rsidRPr="00044E23" w:rsidRDefault="00C87DE3" w:rsidP="00C87DE3">
            <w:pPr>
              <w:rPr>
                <w:i/>
                <w:sz w:val="16"/>
                <w:szCs w:val="16"/>
                <w:lang w:val="en-GB"/>
              </w:rPr>
            </w:pPr>
            <w:r w:rsidRPr="00044E23">
              <w:rPr>
                <w:i/>
                <w:sz w:val="16"/>
                <w:szCs w:val="16"/>
                <w:lang w:val="en-GB"/>
              </w:rPr>
              <w:t>The number of requests to amend or delete personal data depends on the branch of industry. In the financial sector in particular, relatively many requests are submitted, because data subjects are inconvenienced by the processing of their data (e.g. in the context of credit registration).</w:t>
            </w:r>
          </w:p>
          <w:p w:rsidR="0075190D" w:rsidRPr="00044E23" w:rsidRDefault="00431E90" w:rsidP="00EE1D90">
            <w:pPr>
              <w:rPr>
                <w:i/>
                <w:sz w:val="16"/>
                <w:szCs w:val="16"/>
                <w:lang w:val="en-GB"/>
              </w:rPr>
            </w:pPr>
            <w:r w:rsidRPr="00044E23">
              <w:rPr>
                <w:i/>
                <w:sz w:val="16"/>
                <w:szCs w:val="16"/>
                <w:lang w:val="en-GB"/>
              </w:rPr>
              <w:t>In the calculation, the costs for complying with this obligation are deemed to fall within the costs for complying with Article 35 of the DDPA or Articles 12/15 of the EDPR. In practice, businesses combine compliance with both obligations, where relevant. The associated costs are regarded as a single cost item and not two separate cost items.</w:t>
            </w:r>
          </w:p>
        </w:tc>
      </w:tr>
    </w:tbl>
    <w:p w:rsidR="0043516C" w:rsidRPr="00044E23" w:rsidRDefault="0043516C" w:rsidP="0043516C">
      <w:pPr>
        <w:rPr>
          <w:lang w:val="en-GB"/>
        </w:rPr>
      </w:pPr>
    </w:p>
    <w:tbl>
      <w:tblPr>
        <w:tblStyle w:val="Tabellenraster"/>
        <w:tblW w:w="8364" w:type="dxa"/>
        <w:tblInd w:w="108" w:type="dxa"/>
        <w:tblLook w:val="04A0" w:firstRow="1" w:lastRow="0" w:firstColumn="1" w:lastColumn="0" w:noHBand="0" w:noVBand="1"/>
      </w:tblPr>
      <w:tblGrid>
        <w:gridCol w:w="495"/>
        <w:gridCol w:w="3741"/>
        <w:gridCol w:w="511"/>
        <w:gridCol w:w="3617"/>
      </w:tblGrid>
      <w:tr w:rsidR="0043516C" w:rsidRPr="00044E23" w:rsidTr="0043516C">
        <w:tc>
          <w:tcPr>
            <w:tcW w:w="495"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741" w:type="dxa"/>
            <w:shd w:val="clear" w:color="auto" w:fill="66FF66"/>
          </w:tcPr>
          <w:p w:rsidR="0043516C" w:rsidRPr="00044E23" w:rsidRDefault="0043516C" w:rsidP="00F20BCF">
            <w:pPr>
              <w:rPr>
                <w:sz w:val="16"/>
                <w:szCs w:val="16"/>
                <w:lang w:val="en-GB"/>
              </w:rPr>
            </w:pPr>
            <w:r w:rsidRPr="00044E23">
              <w:rPr>
                <w:sz w:val="16"/>
                <w:szCs w:val="16"/>
                <w:lang w:val="en-GB"/>
              </w:rPr>
              <w:t>Obligation under DDPA</w:t>
            </w:r>
          </w:p>
        </w:tc>
        <w:tc>
          <w:tcPr>
            <w:tcW w:w="511"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617" w:type="dxa"/>
            <w:shd w:val="clear" w:color="auto" w:fill="66FF66"/>
          </w:tcPr>
          <w:p w:rsidR="0043516C" w:rsidRPr="00044E23" w:rsidRDefault="0043516C" w:rsidP="00F20BCF">
            <w:pPr>
              <w:rPr>
                <w:sz w:val="16"/>
                <w:szCs w:val="16"/>
                <w:lang w:val="en-GB"/>
              </w:rPr>
            </w:pPr>
            <w:r w:rsidRPr="00044E23">
              <w:rPr>
                <w:sz w:val="16"/>
                <w:szCs w:val="16"/>
                <w:lang w:val="en-GB"/>
              </w:rPr>
              <w:t>Obligation under EDPR</w:t>
            </w:r>
          </w:p>
        </w:tc>
      </w:tr>
      <w:tr w:rsidR="0043516C" w:rsidRPr="00044E23" w:rsidTr="0043516C">
        <w:tc>
          <w:tcPr>
            <w:tcW w:w="495" w:type="dxa"/>
            <w:vMerge w:val="restart"/>
          </w:tcPr>
          <w:p w:rsidR="0043516C" w:rsidRPr="00044E23" w:rsidRDefault="0043516C" w:rsidP="00F20BCF">
            <w:pPr>
              <w:rPr>
                <w:sz w:val="16"/>
                <w:szCs w:val="16"/>
                <w:lang w:val="en-GB"/>
              </w:rPr>
            </w:pPr>
            <w:r w:rsidRPr="00044E23">
              <w:rPr>
                <w:sz w:val="16"/>
                <w:szCs w:val="16"/>
                <w:lang w:val="en-GB"/>
              </w:rPr>
              <w:t>38</w:t>
            </w:r>
          </w:p>
        </w:tc>
        <w:tc>
          <w:tcPr>
            <w:tcW w:w="3741" w:type="dxa"/>
            <w:vMerge w:val="restart"/>
          </w:tcPr>
          <w:p w:rsidR="0043516C" w:rsidRPr="00044E23" w:rsidRDefault="0043516C" w:rsidP="00F20BCF">
            <w:pPr>
              <w:rPr>
                <w:sz w:val="16"/>
                <w:szCs w:val="16"/>
                <w:lang w:val="en-GB"/>
              </w:rPr>
            </w:pPr>
            <w:r w:rsidRPr="00044E23">
              <w:rPr>
                <w:sz w:val="16"/>
                <w:szCs w:val="16"/>
                <w:lang w:val="en-GB"/>
              </w:rPr>
              <w:t>Notifying third parties of personal data changes and informing the data subject</w:t>
            </w:r>
          </w:p>
        </w:tc>
        <w:tc>
          <w:tcPr>
            <w:tcW w:w="511" w:type="dxa"/>
          </w:tcPr>
          <w:p w:rsidR="0043516C" w:rsidRPr="00044E23" w:rsidRDefault="0043516C" w:rsidP="00F20BCF">
            <w:pPr>
              <w:rPr>
                <w:sz w:val="16"/>
                <w:szCs w:val="16"/>
                <w:lang w:val="en-GB"/>
              </w:rPr>
            </w:pPr>
            <w:r w:rsidRPr="00044E23">
              <w:rPr>
                <w:sz w:val="16"/>
                <w:szCs w:val="16"/>
                <w:lang w:val="en-GB"/>
              </w:rPr>
              <w:t>12</w:t>
            </w:r>
          </w:p>
        </w:tc>
        <w:tc>
          <w:tcPr>
            <w:tcW w:w="3617" w:type="dxa"/>
          </w:tcPr>
          <w:p w:rsidR="0043516C" w:rsidRPr="00044E23" w:rsidRDefault="0043516C" w:rsidP="00F20BCF">
            <w:pPr>
              <w:rPr>
                <w:sz w:val="16"/>
                <w:szCs w:val="16"/>
                <w:lang w:val="en-GB"/>
              </w:rPr>
            </w:pPr>
            <w:r w:rsidRPr="00044E23">
              <w:rPr>
                <w:sz w:val="16"/>
                <w:szCs w:val="16"/>
                <w:lang w:val="en-GB"/>
              </w:rPr>
              <w:t>Inform the data subject of actions following a request to provide information</w:t>
            </w:r>
          </w:p>
        </w:tc>
      </w:tr>
      <w:tr w:rsidR="0043516C" w:rsidRPr="00044E23" w:rsidTr="0043516C">
        <w:tc>
          <w:tcPr>
            <w:tcW w:w="495" w:type="dxa"/>
            <w:vMerge/>
            <w:tcBorders>
              <w:bottom w:val="single" w:sz="4" w:space="0" w:color="auto"/>
            </w:tcBorders>
          </w:tcPr>
          <w:p w:rsidR="0043516C" w:rsidRPr="00044E23" w:rsidRDefault="0043516C" w:rsidP="00F20BCF">
            <w:pPr>
              <w:rPr>
                <w:sz w:val="16"/>
                <w:szCs w:val="16"/>
                <w:lang w:val="en-GB"/>
              </w:rPr>
            </w:pPr>
          </w:p>
        </w:tc>
        <w:tc>
          <w:tcPr>
            <w:tcW w:w="3741" w:type="dxa"/>
            <w:vMerge/>
            <w:tcBorders>
              <w:bottom w:val="single" w:sz="4" w:space="0" w:color="auto"/>
            </w:tcBorders>
          </w:tcPr>
          <w:p w:rsidR="0043516C" w:rsidRPr="00044E23" w:rsidRDefault="0043516C" w:rsidP="00F20BCF">
            <w:pPr>
              <w:rPr>
                <w:sz w:val="16"/>
                <w:szCs w:val="16"/>
                <w:lang w:val="en-GB"/>
              </w:rPr>
            </w:pPr>
          </w:p>
        </w:tc>
        <w:tc>
          <w:tcPr>
            <w:tcW w:w="511" w:type="dxa"/>
            <w:tcBorders>
              <w:bottom w:val="single" w:sz="4" w:space="0" w:color="auto"/>
            </w:tcBorders>
          </w:tcPr>
          <w:p w:rsidR="0043516C" w:rsidRPr="00044E23" w:rsidRDefault="0043516C" w:rsidP="00F20BCF">
            <w:pPr>
              <w:rPr>
                <w:sz w:val="16"/>
                <w:szCs w:val="16"/>
                <w:lang w:val="en-GB"/>
              </w:rPr>
            </w:pPr>
            <w:r w:rsidRPr="00044E23">
              <w:rPr>
                <w:sz w:val="16"/>
                <w:szCs w:val="16"/>
                <w:lang w:val="en-GB"/>
              </w:rPr>
              <w:t>13</w:t>
            </w:r>
          </w:p>
        </w:tc>
        <w:tc>
          <w:tcPr>
            <w:tcW w:w="3617" w:type="dxa"/>
            <w:tcBorders>
              <w:bottom w:val="single" w:sz="4" w:space="0" w:color="auto"/>
            </w:tcBorders>
          </w:tcPr>
          <w:p w:rsidR="0043516C" w:rsidRPr="00044E23" w:rsidRDefault="0043516C" w:rsidP="00F20BCF">
            <w:pPr>
              <w:rPr>
                <w:sz w:val="16"/>
                <w:szCs w:val="16"/>
                <w:lang w:val="en-GB"/>
              </w:rPr>
            </w:pPr>
            <w:r w:rsidRPr="00044E23">
              <w:rPr>
                <w:sz w:val="16"/>
                <w:szCs w:val="16"/>
                <w:lang w:val="en-GB"/>
              </w:rPr>
              <w:t>Informing the recipients of rectification or erasure of data</w:t>
            </w:r>
          </w:p>
        </w:tc>
      </w:tr>
      <w:tr w:rsidR="0043516C" w:rsidRPr="00044E23" w:rsidTr="0043516C">
        <w:tc>
          <w:tcPr>
            <w:tcW w:w="8364" w:type="dxa"/>
            <w:gridSpan w:val="4"/>
            <w:tcBorders>
              <w:top w:val="single" w:sz="4" w:space="0" w:color="auto"/>
              <w:bottom w:val="single" w:sz="4" w:space="0" w:color="auto"/>
            </w:tcBorders>
            <w:shd w:val="clear" w:color="auto" w:fill="CCFFCC"/>
          </w:tcPr>
          <w:p w:rsidR="0043516C" w:rsidRPr="00044E23" w:rsidRDefault="00423B5E" w:rsidP="00EE1D90">
            <w:pPr>
              <w:rPr>
                <w:i/>
                <w:sz w:val="16"/>
                <w:szCs w:val="16"/>
                <w:lang w:val="en-GB"/>
              </w:rPr>
            </w:pPr>
            <w:r w:rsidRPr="00044E23">
              <w:rPr>
                <w:i/>
                <w:sz w:val="16"/>
                <w:szCs w:val="16"/>
                <w:lang w:val="en-GB"/>
              </w:rPr>
              <w:t>The costs arising from this obligation could not be separately quantified. Under the DDPA, the data subject only has to be informed of the notification to third parties if the data subject so requests. Under the EDPR, the data subject must always be informed, and so it is assumed that complying with this obligation from the EDPR will entail greater cost than under the DDPA.</w:t>
            </w:r>
          </w:p>
          <w:p w:rsidR="00EE1D90" w:rsidRPr="00044E23" w:rsidRDefault="00EE1D90" w:rsidP="00EE1D90">
            <w:pPr>
              <w:rPr>
                <w:i/>
                <w:sz w:val="16"/>
                <w:szCs w:val="16"/>
                <w:lang w:val="en-GB"/>
              </w:rPr>
            </w:pPr>
            <w:r w:rsidRPr="00044E23">
              <w:rPr>
                <w:i/>
                <w:sz w:val="16"/>
                <w:szCs w:val="16"/>
                <w:lang w:val="en-GB"/>
              </w:rPr>
              <w:t>In the calculation, the costs for complying with this obligation are deemed to fall within the costs for complying with Article 35 of the DDPA or Articles 12/15 of the EDPR. In practice, businesses combine compliance with both obligations, where appropriate. The associated costs are regarded as a single cost item and not two separate cost items.</w:t>
            </w:r>
          </w:p>
        </w:tc>
      </w:tr>
    </w:tbl>
    <w:p w:rsidR="0043516C" w:rsidRPr="00044E23" w:rsidRDefault="0043516C" w:rsidP="0043516C">
      <w:pPr>
        <w:rPr>
          <w:lang w:val="en-GB"/>
        </w:rPr>
      </w:pPr>
    </w:p>
    <w:p w:rsidR="00B741B3" w:rsidRPr="00044E23" w:rsidRDefault="00B741B3">
      <w:pPr>
        <w:rPr>
          <w:lang w:val="en-GB"/>
        </w:rPr>
      </w:pPr>
      <w:r w:rsidRPr="00044E23">
        <w:rPr>
          <w:lang w:val="en-GB"/>
        </w:rPr>
        <w:br w:type="page"/>
      </w:r>
    </w:p>
    <w:tbl>
      <w:tblPr>
        <w:tblStyle w:val="Tabellenraster"/>
        <w:tblW w:w="8364" w:type="dxa"/>
        <w:tblInd w:w="108" w:type="dxa"/>
        <w:tblLook w:val="04A0" w:firstRow="1" w:lastRow="0" w:firstColumn="1" w:lastColumn="0" w:noHBand="0" w:noVBand="1"/>
      </w:tblPr>
      <w:tblGrid>
        <w:gridCol w:w="495"/>
        <w:gridCol w:w="3741"/>
        <w:gridCol w:w="511"/>
        <w:gridCol w:w="3617"/>
      </w:tblGrid>
      <w:tr w:rsidR="0043516C" w:rsidRPr="00044E23" w:rsidTr="00B659C0">
        <w:tc>
          <w:tcPr>
            <w:tcW w:w="495"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741" w:type="dxa"/>
            <w:shd w:val="clear" w:color="auto" w:fill="66FF66"/>
          </w:tcPr>
          <w:p w:rsidR="0043516C" w:rsidRPr="00044E23" w:rsidRDefault="0043516C" w:rsidP="00F20BCF">
            <w:pPr>
              <w:rPr>
                <w:sz w:val="16"/>
                <w:szCs w:val="16"/>
                <w:lang w:val="en-GB"/>
              </w:rPr>
            </w:pPr>
            <w:r w:rsidRPr="00044E23">
              <w:rPr>
                <w:sz w:val="16"/>
                <w:szCs w:val="16"/>
                <w:lang w:val="en-GB"/>
              </w:rPr>
              <w:t>Obligation under DDPA</w:t>
            </w:r>
          </w:p>
        </w:tc>
        <w:tc>
          <w:tcPr>
            <w:tcW w:w="511"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617" w:type="dxa"/>
            <w:shd w:val="clear" w:color="auto" w:fill="66FF66"/>
          </w:tcPr>
          <w:p w:rsidR="0043516C" w:rsidRPr="00044E23" w:rsidRDefault="0043516C" w:rsidP="00F20BCF">
            <w:pPr>
              <w:rPr>
                <w:sz w:val="16"/>
                <w:szCs w:val="16"/>
                <w:lang w:val="en-GB"/>
              </w:rPr>
            </w:pPr>
            <w:r w:rsidRPr="00044E23">
              <w:rPr>
                <w:sz w:val="16"/>
                <w:szCs w:val="16"/>
                <w:lang w:val="en-GB"/>
              </w:rPr>
              <w:t>Obligation under EDPR</w:t>
            </w:r>
          </w:p>
        </w:tc>
      </w:tr>
      <w:tr w:rsidR="0043516C" w:rsidRPr="00044E23" w:rsidTr="00B659C0">
        <w:tc>
          <w:tcPr>
            <w:tcW w:w="495" w:type="dxa"/>
            <w:vMerge w:val="restart"/>
          </w:tcPr>
          <w:p w:rsidR="0043516C" w:rsidRPr="00044E23" w:rsidRDefault="0043516C" w:rsidP="00F20BCF">
            <w:pPr>
              <w:rPr>
                <w:sz w:val="16"/>
                <w:szCs w:val="16"/>
                <w:lang w:val="en-GB"/>
              </w:rPr>
            </w:pPr>
            <w:r w:rsidRPr="00044E23">
              <w:rPr>
                <w:sz w:val="16"/>
                <w:szCs w:val="16"/>
                <w:lang w:val="en-GB"/>
              </w:rPr>
              <w:t>40</w:t>
            </w:r>
          </w:p>
        </w:tc>
        <w:tc>
          <w:tcPr>
            <w:tcW w:w="3741" w:type="dxa"/>
            <w:vMerge w:val="restart"/>
          </w:tcPr>
          <w:p w:rsidR="0043516C" w:rsidRPr="00044E23" w:rsidRDefault="0043516C" w:rsidP="00F20BCF">
            <w:pPr>
              <w:rPr>
                <w:sz w:val="16"/>
                <w:szCs w:val="16"/>
                <w:lang w:val="en-GB"/>
              </w:rPr>
            </w:pPr>
            <w:r w:rsidRPr="00044E23">
              <w:rPr>
                <w:sz w:val="16"/>
                <w:szCs w:val="16"/>
                <w:lang w:val="en-GB"/>
              </w:rPr>
              <w:t>Assessing the legitimacy of a data subject's objection</w:t>
            </w:r>
          </w:p>
        </w:tc>
        <w:tc>
          <w:tcPr>
            <w:tcW w:w="511" w:type="dxa"/>
          </w:tcPr>
          <w:p w:rsidR="0043516C" w:rsidRPr="00044E23" w:rsidRDefault="0043516C" w:rsidP="00F20BCF">
            <w:pPr>
              <w:rPr>
                <w:sz w:val="16"/>
                <w:szCs w:val="16"/>
                <w:lang w:val="en-GB"/>
              </w:rPr>
            </w:pPr>
            <w:r w:rsidRPr="00044E23">
              <w:rPr>
                <w:sz w:val="16"/>
                <w:szCs w:val="16"/>
                <w:lang w:val="en-GB"/>
              </w:rPr>
              <w:t>12</w:t>
            </w:r>
          </w:p>
        </w:tc>
        <w:tc>
          <w:tcPr>
            <w:tcW w:w="3617" w:type="dxa"/>
          </w:tcPr>
          <w:p w:rsidR="0043516C" w:rsidRPr="00044E23" w:rsidRDefault="0043516C" w:rsidP="00F20BCF">
            <w:pPr>
              <w:rPr>
                <w:sz w:val="16"/>
                <w:szCs w:val="16"/>
                <w:lang w:val="en-GB"/>
              </w:rPr>
            </w:pPr>
            <w:r w:rsidRPr="00044E23">
              <w:rPr>
                <w:sz w:val="16"/>
                <w:szCs w:val="16"/>
                <w:lang w:val="en-GB"/>
              </w:rPr>
              <w:t>Inform the data subject of actions following a request to provide information</w:t>
            </w:r>
          </w:p>
        </w:tc>
      </w:tr>
      <w:tr w:rsidR="0043516C" w:rsidRPr="00044E23" w:rsidTr="00B659C0">
        <w:tc>
          <w:tcPr>
            <w:tcW w:w="495" w:type="dxa"/>
            <w:vMerge/>
          </w:tcPr>
          <w:p w:rsidR="0043516C" w:rsidRPr="00044E23" w:rsidRDefault="0043516C" w:rsidP="00F20BCF">
            <w:pPr>
              <w:rPr>
                <w:sz w:val="16"/>
                <w:szCs w:val="16"/>
                <w:lang w:val="en-GB"/>
              </w:rPr>
            </w:pPr>
          </w:p>
        </w:tc>
        <w:tc>
          <w:tcPr>
            <w:tcW w:w="3741" w:type="dxa"/>
            <w:vMerge/>
          </w:tcPr>
          <w:p w:rsidR="0043516C" w:rsidRPr="00044E23" w:rsidRDefault="0043516C" w:rsidP="00F20BCF">
            <w:pPr>
              <w:rPr>
                <w:sz w:val="16"/>
                <w:szCs w:val="16"/>
                <w:lang w:val="en-GB"/>
              </w:rPr>
            </w:pPr>
          </w:p>
        </w:tc>
        <w:tc>
          <w:tcPr>
            <w:tcW w:w="511" w:type="dxa"/>
          </w:tcPr>
          <w:p w:rsidR="0043516C" w:rsidRPr="00044E23" w:rsidRDefault="0043516C" w:rsidP="00F20BCF">
            <w:pPr>
              <w:rPr>
                <w:sz w:val="16"/>
                <w:szCs w:val="16"/>
                <w:lang w:val="en-GB"/>
              </w:rPr>
            </w:pPr>
            <w:r w:rsidRPr="00044E23">
              <w:rPr>
                <w:sz w:val="16"/>
                <w:szCs w:val="16"/>
                <w:lang w:val="en-GB"/>
              </w:rPr>
              <w:t>19</w:t>
            </w:r>
          </w:p>
        </w:tc>
        <w:tc>
          <w:tcPr>
            <w:tcW w:w="3617" w:type="dxa"/>
          </w:tcPr>
          <w:p w:rsidR="0043516C" w:rsidRPr="00044E23" w:rsidRDefault="0043516C" w:rsidP="00F20BCF">
            <w:pPr>
              <w:rPr>
                <w:sz w:val="16"/>
                <w:szCs w:val="16"/>
                <w:lang w:val="en-GB"/>
              </w:rPr>
            </w:pPr>
            <w:r w:rsidRPr="00044E23">
              <w:rPr>
                <w:sz w:val="16"/>
                <w:szCs w:val="16"/>
                <w:lang w:val="en-GB"/>
              </w:rPr>
              <w:t>Assessing the legitimacy of a data subject's objection</w:t>
            </w:r>
          </w:p>
        </w:tc>
      </w:tr>
      <w:tr w:rsidR="00B659C0" w:rsidRPr="00044E23" w:rsidTr="00B659C0">
        <w:tc>
          <w:tcPr>
            <w:tcW w:w="8364" w:type="dxa"/>
            <w:gridSpan w:val="4"/>
            <w:tcBorders>
              <w:top w:val="single" w:sz="4" w:space="0" w:color="auto"/>
              <w:bottom w:val="single" w:sz="4" w:space="0" w:color="auto"/>
            </w:tcBorders>
            <w:shd w:val="clear" w:color="auto" w:fill="CCFFCC"/>
          </w:tcPr>
          <w:p w:rsidR="00C87DE3" w:rsidRPr="00044E23" w:rsidRDefault="00B659C0" w:rsidP="00882FF2">
            <w:pPr>
              <w:rPr>
                <w:i/>
                <w:sz w:val="16"/>
                <w:szCs w:val="16"/>
                <w:lang w:val="en-GB"/>
              </w:rPr>
            </w:pPr>
            <w:r w:rsidRPr="00044E23">
              <w:rPr>
                <w:i/>
                <w:sz w:val="16"/>
                <w:szCs w:val="16"/>
                <w:lang w:val="en-GB"/>
              </w:rPr>
              <w:t>The costs arising from this obligation could not be separately quantified.</w:t>
            </w:r>
          </w:p>
          <w:p w:rsidR="00EE1D90" w:rsidRPr="00044E23" w:rsidRDefault="00EE1D90" w:rsidP="00882FF2">
            <w:pPr>
              <w:rPr>
                <w:i/>
                <w:sz w:val="16"/>
                <w:szCs w:val="16"/>
                <w:lang w:val="en-GB"/>
              </w:rPr>
            </w:pPr>
            <w:r w:rsidRPr="00044E23">
              <w:rPr>
                <w:i/>
                <w:sz w:val="16"/>
                <w:szCs w:val="16"/>
                <w:lang w:val="en-GB"/>
              </w:rPr>
              <w:t>In the calculation, the costs for complying with this obligation are deemed to fall within the costs for complying with Article 35 of the DDPA or Articles 12/15 of the EDPR. In practice, businesses combine compliance with both obligations, where relevant. The associated costs are regarded as a single cost item and not two separate cost items.</w:t>
            </w:r>
          </w:p>
          <w:p w:rsidR="00B659C0" w:rsidRPr="00044E23" w:rsidRDefault="008C381F" w:rsidP="00882FF2">
            <w:pPr>
              <w:rPr>
                <w:i/>
                <w:sz w:val="16"/>
                <w:szCs w:val="16"/>
                <w:lang w:val="en-GB"/>
              </w:rPr>
            </w:pPr>
            <w:r w:rsidRPr="00044E23">
              <w:rPr>
                <w:i/>
                <w:sz w:val="16"/>
                <w:szCs w:val="16"/>
                <w:lang w:val="en-GB"/>
              </w:rPr>
              <w:t>There is also a difference between the DDPA and the EDPR in the way a business assesses the legitimacy of an objection. Under the DDPA, a business must first make a generic balance of interests consideration, which is then individualised under Article 40. Under the EDPR, a business must first make a generic balance of interests consideration in accordance with Article 6, which may only be maintained in an objection procedure under Article 19 if the business can demonstrate that it has compelling and legitimate grounds. This means that in the generic consideration of the balance of interests under Article 6, the business must already cite compelling and legitimate grounds for the processing operation because an objection based on Article 19 would otherwise always be upheld.</w:t>
            </w:r>
          </w:p>
        </w:tc>
      </w:tr>
    </w:tbl>
    <w:p w:rsidR="0043516C" w:rsidRPr="00044E23" w:rsidRDefault="0043516C" w:rsidP="0043516C">
      <w:pPr>
        <w:rPr>
          <w:lang w:val="en-GB"/>
        </w:rPr>
      </w:pPr>
    </w:p>
    <w:tbl>
      <w:tblPr>
        <w:tblStyle w:val="Tabellenraster"/>
        <w:tblW w:w="8364" w:type="dxa"/>
        <w:tblInd w:w="108" w:type="dxa"/>
        <w:tblLook w:val="04A0" w:firstRow="1" w:lastRow="0" w:firstColumn="1" w:lastColumn="0" w:noHBand="0" w:noVBand="1"/>
      </w:tblPr>
      <w:tblGrid>
        <w:gridCol w:w="495"/>
        <w:gridCol w:w="3741"/>
        <w:gridCol w:w="511"/>
        <w:gridCol w:w="3617"/>
      </w:tblGrid>
      <w:tr w:rsidR="0043516C" w:rsidRPr="00044E23" w:rsidTr="0043516C">
        <w:tc>
          <w:tcPr>
            <w:tcW w:w="495"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741" w:type="dxa"/>
            <w:shd w:val="clear" w:color="auto" w:fill="66FF66"/>
          </w:tcPr>
          <w:p w:rsidR="0043516C" w:rsidRPr="00044E23" w:rsidRDefault="0043516C" w:rsidP="00F20BCF">
            <w:pPr>
              <w:rPr>
                <w:sz w:val="16"/>
                <w:szCs w:val="16"/>
                <w:lang w:val="en-GB"/>
              </w:rPr>
            </w:pPr>
            <w:r w:rsidRPr="00044E23">
              <w:rPr>
                <w:sz w:val="16"/>
                <w:szCs w:val="16"/>
                <w:lang w:val="en-GB"/>
              </w:rPr>
              <w:t>Obligation under DDPA</w:t>
            </w:r>
          </w:p>
        </w:tc>
        <w:tc>
          <w:tcPr>
            <w:tcW w:w="511"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617" w:type="dxa"/>
            <w:shd w:val="clear" w:color="auto" w:fill="66FF66"/>
          </w:tcPr>
          <w:p w:rsidR="0043516C" w:rsidRPr="00044E23" w:rsidRDefault="0043516C" w:rsidP="00F20BCF">
            <w:pPr>
              <w:rPr>
                <w:sz w:val="16"/>
                <w:szCs w:val="16"/>
                <w:lang w:val="en-GB"/>
              </w:rPr>
            </w:pPr>
            <w:r w:rsidRPr="00044E23">
              <w:rPr>
                <w:sz w:val="16"/>
                <w:szCs w:val="16"/>
                <w:lang w:val="en-GB"/>
              </w:rPr>
              <w:t>Obligation under EDPR</w:t>
            </w:r>
          </w:p>
        </w:tc>
      </w:tr>
      <w:tr w:rsidR="0043516C" w:rsidRPr="00044E23" w:rsidTr="0043516C">
        <w:trPr>
          <w:trHeight w:val="677"/>
        </w:trPr>
        <w:tc>
          <w:tcPr>
            <w:tcW w:w="495" w:type="dxa"/>
          </w:tcPr>
          <w:p w:rsidR="0043516C" w:rsidRPr="00044E23" w:rsidRDefault="0043516C" w:rsidP="00F20BCF">
            <w:pPr>
              <w:rPr>
                <w:sz w:val="16"/>
                <w:szCs w:val="16"/>
                <w:lang w:val="en-GB"/>
              </w:rPr>
            </w:pPr>
            <w:r w:rsidRPr="00044E23">
              <w:rPr>
                <w:sz w:val="16"/>
                <w:szCs w:val="16"/>
                <w:lang w:val="en-GB"/>
              </w:rPr>
              <w:t>41</w:t>
            </w:r>
          </w:p>
        </w:tc>
        <w:tc>
          <w:tcPr>
            <w:tcW w:w="3741" w:type="dxa"/>
          </w:tcPr>
          <w:p w:rsidR="0043516C" w:rsidRPr="00044E23" w:rsidRDefault="0043516C" w:rsidP="00F20BCF">
            <w:pPr>
              <w:rPr>
                <w:sz w:val="16"/>
                <w:szCs w:val="16"/>
                <w:lang w:val="en-GB"/>
              </w:rPr>
            </w:pPr>
            <w:r w:rsidRPr="00044E23">
              <w:rPr>
                <w:sz w:val="16"/>
                <w:szCs w:val="16"/>
                <w:lang w:val="en-GB"/>
              </w:rPr>
              <w:t>Taking appropriate measures to end data processing and to inform the data subject of the measures taken</w:t>
            </w:r>
          </w:p>
        </w:tc>
        <w:tc>
          <w:tcPr>
            <w:tcW w:w="511" w:type="dxa"/>
          </w:tcPr>
          <w:p w:rsidR="0043516C" w:rsidRPr="00044E23" w:rsidRDefault="0043516C" w:rsidP="00F20BCF">
            <w:pPr>
              <w:rPr>
                <w:sz w:val="16"/>
                <w:szCs w:val="16"/>
                <w:lang w:val="en-GB"/>
              </w:rPr>
            </w:pPr>
            <w:r w:rsidRPr="00044E23">
              <w:rPr>
                <w:sz w:val="16"/>
                <w:szCs w:val="16"/>
                <w:lang w:val="en-GB"/>
              </w:rPr>
              <w:t>12</w:t>
            </w:r>
          </w:p>
        </w:tc>
        <w:tc>
          <w:tcPr>
            <w:tcW w:w="3617" w:type="dxa"/>
          </w:tcPr>
          <w:p w:rsidR="0043516C" w:rsidRPr="00044E23" w:rsidRDefault="0043516C" w:rsidP="00F20BCF">
            <w:pPr>
              <w:rPr>
                <w:sz w:val="16"/>
                <w:szCs w:val="16"/>
                <w:lang w:val="en-GB"/>
              </w:rPr>
            </w:pPr>
            <w:r w:rsidRPr="00044E23">
              <w:rPr>
                <w:sz w:val="16"/>
                <w:szCs w:val="16"/>
                <w:lang w:val="en-GB"/>
              </w:rPr>
              <w:t>Inform the data subject of actions following a request to provide information</w:t>
            </w:r>
          </w:p>
        </w:tc>
      </w:tr>
      <w:tr w:rsidR="00FE4038" w:rsidRPr="00044E23" w:rsidTr="00E16809">
        <w:tc>
          <w:tcPr>
            <w:tcW w:w="8364" w:type="dxa"/>
            <w:gridSpan w:val="4"/>
            <w:tcBorders>
              <w:top w:val="single" w:sz="4" w:space="0" w:color="auto"/>
              <w:bottom w:val="single" w:sz="4" w:space="0" w:color="auto"/>
            </w:tcBorders>
            <w:shd w:val="clear" w:color="auto" w:fill="CCFFCC"/>
          </w:tcPr>
          <w:p w:rsidR="00FE4038" w:rsidRPr="00044E23" w:rsidRDefault="00FE4038" w:rsidP="00E16809">
            <w:pPr>
              <w:rPr>
                <w:i/>
                <w:sz w:val="16"/>
                <w:szCs w:val="16"/>
                <w:lang w:val="en-GB"/>
              </w:rPr>
            </w:pPr>
            <w:r w:rsidRPr="00044E23">
              <w:rPr>
                <w:i/>
                <w:sz w:val="16"/>
                <w:szCs w:val="16"/>
                <w:lang w:val="en-GB"/>
              </w:rPr>
              <w:t>The costs arising from this obligation could not be separately quantified.</w:t>
            </w:r>
          </w:p>
          <w:p w:rsidR="00C30C7E" w:rsidRPr="00044E23" w:rsidRDefault="00C30C7E" w:rsidP="00E16809">
            <w:pPr>
              <w:rPr>
                <w:i/>
                <w:sz w:val="16"/>
                <w:szCs w:val="16"/>
                <w:lang w:val="en-GB"/>
              </w:rPr>
            </w:pPr>
            <w:r w:rsidRPr="00044E23">
              <w:rPr>
                <w:i/>
                <w:sz w:val="16"/>
                <w:szCs w:val="16"/>
                <w:lang w:val="en-GB"/>
              </w:rPr>
              <w:t>In the calculation, the costs for complying with this obligation are deemed to fall within the costs for complying with Article 35 of the DDPA or Articles 12/15 of the EDPR. In practice, businesses combine compliance with both obligations, where relevant. The associated costs are regarded as a single cost item and not two separate cost items.</w:t>
            </w:r>
          </w:p>
        </w:tc>
      </w:tr>
    </w:tbl>
    <w:p w:rsidR="0043516C" w:rsidRPr="00044E23" w:rsidRDefault="0043516C" w:rsidP="0043516C">
      <w:pPr>
        <w:rPr>
          <w:lang w:val="en-GB"/>
        </w:rPr>
      </w:pPr>
    </w:p>
    <w:tbl>
      <w:tblPr>
        <w:tblStyle w:val="Tabellenraster"/>
        <w:tblW w:w="0" w:type="auto"/>
        <w:tblInd w:w="79" w:type="dxa"/>
        <w:tblLook w:val="04A0" w:firstRow="1" w:lastRow="0" w:firstColumn="1" w:lastColumn="0" w:noHBand="0" w:noVBand="1"/>
      </w:tblPr>
      <w:tblGrid>
        <w:gridCol w:w="495"/>
        <w:gridCol w:w="3741"/>
        <w:gridCol w:w="511"/>
        <w:gridCol w:w="3617"/>
      </w:tblGrid>
      <w:tr w:rsidR="0043516C" w:rsidRPr="00044E23" w:rsidTr="00715FA2">
        <w:tc>
          <w:tcPr>
            <w:tcW w:w="495"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741" w:type="dxa"/>
            <w:shd w:val="clear" w:color="auto" w:fill="66FF66"/>
          </w:tcPr>
          <w:p w:rsidR="0043516C" w:rsidRPr="00044E23" w:rsidRDefault="0043516C" w:rsidP="00F20BCF">
            <w:pPr>
              <w:rPr>
                <w:sz w:val="16"/>
                <w:szCs w:val="16"/>
                <w:lang w:val="en-GB"/>
              </w:rPr>
            </w:pPr>
            <w:r w:rsidRPr="00044E23">
              <w:rPr>
                <w:sz w:val="16"/>
                <w:szCs w:val="16"/>
                <w:lang w:val="en-GB"/>
              </w:rPr>
              <w:t>Obligation under DDPA</w:t>
            </w:r>
          </w:p>
        </w:tc>
        <w:tc>
          <w:tcPr>
            <w:tcW w:w="511" w:type="dxa"/>
            <w:shd w:val="clear" w:color="auto" w:fill="66FF66"/>
          </w:tcPr>
          <w:p w:rsidR="0043516C" w:rsidRPr="00044E23" w:rsidRDefault="0043516C" w:rsidP="00F20BCF">
            <w:pPr>
              <w:rPr>
                <w:sz w:val="16"/>
                <w:szCs w:val="16"/>
                <w:lang w:val="en-GB"/>
              </w:rPr>
            </w:pPr>
            <w:r w:rsidRPr="00044E23">
              <w:rPr>
                <w:sz w:val="16"/>
                <w:szCs w:val="16"/>
                <w:lang w:val="en-GB"/>
              </w:rPr>
              <w:t>Art.</w:t>
            </w:r>
          </w:p>
        </w:tc>
        <w:tc>
          <w:tcPr>
            <w:tcW w:w="3617" w:type="dxa"/>
            <w:shd w:val="clear" w:color="auto" w:fill="66FF66"/>
          </w:tcPr>
          <w:p w:rsidR="0043516C" w:rsidRPr="00044E23" w:rsidRDefault="0043516C" w:rsidP="00F20BCF">
            <w:pPr>
              <w:rPr>
                <w:sz w:val="16"/>
                <w:szCs w:val="16"/>
                <w:lang w:val="en-GB"/>
              </w:rPr>
            </w:pPr>
            <w:r w:rsidRPr="00044E23">
              <w:rPr>
                <w:sz w:val="16"/>
                <w:szCs w:val="16"/>
                <w:lang w:val="en-GB"/>
              </w:rPr>
              <w:t>Obligation under EDPR</w:t>
            </w:r>
          </w:p>
        </w:tc>
      </w:tr>
      <w:tr w:rsidR="0043516C" w:rsidRPr="00044E23" w:rsidTr="00715FA2">
        <w:tc>
          <w:tcPr>
            <w:tcW w:w="495" w:type="dxa"/>
          </w:tcPr>
          <w:p w:rsidR="0043516C" w:rsidRPr="00044E23" w:rsidRDefault="0043516C" w:rsidP="00F20BCF">
            <w:pPr>
              <w:rPr>
                <w:sz w:val="16"/>
                <w:szCs w:val="16"/>
                <w:lang w:val="en-GB"/>
              </w:rPr>
            </w:pPr>
            <w:r w:rsidRPr="00044E23">
              <w:rPr>
                <w:sz w:val="16"/>
                <w:szCs w:val="16"/>
                <w:lang w:val="en-GB"/>
              </w:rPr>
              <w:t>41</w:t>
            </w:r>
          </w:p>
        </w:tc>
        <w:tc>
          <w:tcPr>
            <w:tcW w:w="3741" w:type="dxa"/>
          </w:tcPr>
          <w:p w:rsidR="0043516C" w:rsidRPr="00044E23" w:rsidRDefault="0043516C" w:rsidP="00F20BCF">
            <w:pPr>
              <w:rPr>
                <w:sz w:val="16"/>
                <w:szCs w:val="16"/>
                <w:lang w:val="en-GB"/>
              </w:rPr>
            </w:pPr>
            <w:r w:rsidRPr="00044E23">
              <w:rPr>
                <w:sz w:val="16"/>
                <w:szCs w:val="16"/>
                <w:lang w:val="en-GB"/>
              </w:rPr>
              <w:t>Take adequate measures to inform data subjects of the option to object to data processing for commercial or charitable purposes</w:t>
            </w:r>
          </w:p>
        </w:tc>
        <w:tc>
          <w:tcPr>
            <w:tcW w:w="511" w:type="dxa"/>
          </w:tcPr>
          <w:p w:rsidR="0043516C" w:rsidRPr="00044E23" w:rsidRDefault="0043516C" w:rsidP="00F20BCF">
            <w:pPr>
              <w:rPr>
                <w:sz w:val="16"/>
                <w:szCs w:val="16"/>
                <w:lang w:val="en-GB"/>
              </w:rPr>
            </w:pPr>
            <w:r w:rsidRPr="00044E23">
              <w:rPr>
                <w:sz w:val="16"/>
                <w:szCs w:val="16"/>
                <w:lang w:val="en-GB"/>
              </w:rPr>
              <w:t>19</w:t>
            </w:r>
          </w:p>
        </w:tc>
        <w:tc>
          <w:tcPr>
            <w:tcW w:w="3617" w:type="dxa"/>
          </w:tcPr>
          <w:p w:rsidR="0043516C" w:rsidRPr="00044E23" w:rsidRDefault="0043516C" w:rsidP="00F20BCF">
            <w:pPr>
              <w:rPr>
                <w:sz w:val="16"/>
                <w:szCs w:val="16"/>
                <w:lang w:val="en-GB"/>
              </w:rPr>
            </w:pPr>
            <w:r w:rsidRPr="00044E23">
              <w:rPr>
                <w:sz w:val="16"/>
                <w:szCs w:val="16"/>
                <w:lang w:val="en-GB"/>
              </w:rPr>
              <w:t>Informing the data subject of the option to object when personal data is processed for direct marketing purposes.</w:t>
            </w:r>
          </w:p>
        </w:tc>
      </w:tr>
      <w:tr w:rsidR="00715FA2" w:rsidRPr="00044E23" w:rsidTr="00715FA2">
        <w:tc>
          <w:tcPr>
            <w:tcW w:w="8364" w:type="dxa"/>
            <w:gridSpan w:val="4"/>
            <w:tcBorders>
              <w:top w:val="single" w:sz="4" w:space="0" w:color="auto"/>
              <w:bottom w:val="single" w:sz="4" w:space="0" w:color="auto"/>
            </w:tcBorders>
            <w:shd w:val="clear" w:color="auto" w:fill="CCFFCC"/>
          </w:tcPr>
          <w:p w:rsidR="00715FA2" w:rsidRPr="00044E23" w:rsidRDefault="00715FA2" w:rsidP="00C30C7E">
            <w:pPr>
              <w:rPr>
                <w:i/>
                <w:sz w:val="16"/>
                <w:szCs w:val="16"/>
                <w:lang w:val="en-GB"/>
              </w:rPr>
            </w:pPr>
            <w:r w:rsidRPr="00044E23">
              <w:rPr>
                <w:i/>
                <w:sz w:val="16"/>
                <w:szCs w:val="16"/>
                <w:lang w:val="en-GB"/>
              </w:rPr>
              <w:t>The costs arising from this obligation could not be separately quantified.</w:t>
            </w:r>
          </w:p>
          <w:p w:rsidR="00C30C7E" w:rsidRPr="00044E23" w:rsidRDefault="00C30C7E" w:rsidP="007A73F6">
            <w:pPr>
              <w:rPr>
                <w:i/>
                <w:sz w:val="16"/>
                <w:szCs w:val="16"/>
                <w:lang w:val="en-GB"/>
              </w:rPr>
            </w:pPr>
            <w:r w:rsidRPr="00044E23">
              <w:rPr>
                <w:i/>
                <w:sz w:val="16"/>
                <w:szCs w:val="16"/>
                <w:lang w:val="en-GB"/>
              </w:rPr>
              <w:t>In the calculation, the costs for complying with this obligation are deemed to fall within the costs for complying with Article 35 of the DDPA or Articles 12/15 of the EDPR.</w:t>
            </w:r>
          </w:p>
        </w:tc>
      </w:tr>
    </w:tbl>
    <w:p w:rsidR="00F43AD2" w:rsidRPr="00044E23" w:rsidRDefault="00F43AD2" w:rsidP="00F43AD2">
      <w:pPr>
        <w:rPr>
          <w:lang w:val="en-GB"/>
        </w:rPr>
      </w:pPr>
    </w:p>
    <w:p w:rsidR="00C34381" w:rsidRPr="00044E23" w:rsidRDefault="00C34381">
      <w:pPr>
        <w:ind w:left="-851"/>
        <w:jc w:val="left"/>
        <w:rPr>
          <w:rFonts w:eastAsiaTheme="majorEastAsia" w:cstheme="majorBidi"/>
          <w:b/>
          <w:bCs/>
          <w:color w:val="000080"/>
          <w:sz w:val="24"/>
          <w:szCs w:val="26"/>
          <w:lang w:val="en-GB"/>
        </w:rPr>
      </w:pPr>
      <w:r w:rsidRPr="00044E23">
        <w:rPr>
          <w:lang w:val="en-GB"/>
        </w:rPr>
        <w:br w:type="page"/>
      </w:r>
    </w:p>
    <w:p w:rsidR="00CF04CA" w:rsidRPr="00044E23" w:rsidRDefault="00F43AD2" w:rsidP="003A6B87">
      <w:pPr>
        <w:pStyle w:val="berschrift2"/>
        <w:rPr>
          <w:lang w:val="en-GB"/>
        </w:rPr>
      </w:pPr>
      <w:bookmarkStart w:id="9" w:name="_Toc360101912"/>
      <w:r w:rsidRPr="00044E23">
        <w:rPr>
          <w:lang w:val="en-GB"/>
        </w:rPr>
        <w:t>Obligations that only apply in the current situation</w:t>
      </w:r>
      <w:bookmarkEnd w:id="9"/>
    </w:p>
    <w:p w:rsidR="003A6B87" w:rsidRPr="00044E23" w:rsidRDefault="0098324E" w:rsidP="003A6B87">
      <w:pPr>
        <w:rPr>
          <w:lang w:val="en-GB"/>
        </w:rPr>
      </w:pPr>
      <w:r w:rsidRPr="00044E23">
        <w:rPr>
          <w:lang w:val="en-GB"/>
        </w:rPr>
        <w:t>This section describes the obligations that only apply under the Dutch Data Protection Act (DDPA). This relates to obligations that will no longer apply when the proposed Data Protection Regulation (EDPR) comes into force. Where necessary, an explanation is provided for each obligation</w:t>
      </w:r>
    </w:p>
    <w:p w:rsidR="00F43AD2" w:rsidRPr="00044E23" w:rsidRDefault="00F43AD2" w:rsidP="00033B19">
      <w:pPr>
        <w:pStyle w:val="berschrift4"/>
        <w:rPr>
          <w:lang w:val="en-GB"/>
        </w:rPr>
      </w:pPr>
      <w:r w:rsidRPr="00044E23">
        <w:rPr>
          <w:lang w:val="en-GB"/>
        </w:rPr>
        <w:t>Information obligations that give rise to AB</w:t>
      </w:r>
    </w:p>
    <w:p w:rsidR="00C34381" w:rsidRPr="00044E23" w:rsidRDefault="00C34381" w:rsidP="00C34381">
      <w:pPr>
        <w:rPr>
          <w:lang w:val="en-GB"/>
        </w:rPr>
      </w:pPr>
    </w:p>
    <w:tbl>
      <w:tblPr>
        <w:tblStyle w:val="Tabellenraster"/>
        <w:tblW w:w="0" w:type="auto"/>
        <w:tblInd w:w="79" w:type="dxa"/>
        <w:tblLook w:val="04A0" w:firstRow="1" w:lastRow="0" w:firstColumn="1" w:lastColumn="0" w:noHBand="0" w:noVBand="1"/>
      </w:tblPr>
      <w:tblGrid>
        <w:gridCol w:w="495"/>
        <w:gridCol w:w="7869"/>
      </w:tblGrid>
      <w:tr w:rsidR="00CA4165" w:rsidRPr="00044E23" w:rsidTr="00CA4165">
        <w:tc>
          <w:tcPr>
            <w:tcW w:w="495" w:type="dxa"/>
            <w:shd w:val="clear" w:color="auto" w:fill="F8F200"/>
          </w:tcPr>
          <w:p w:rsidR="00CA4165" w:rsidRPr="00044E23" w:rsidRDefault="00CA4165" w:rsidP="00F20BCF">
            <w:pPr>
              <w:rPr>
                <w:sz w:val="16"/>
                <w:szCs w:val="16"/>
                <w:lang w:val="en-GB"/>
              </w:rPr>
            </w:pPr>
            <w:r w:rsidRPr="00044E23">
              <w:rPr>
                <w:sz w:val="16"/>
                <w:szCs w:val="16"/>
                <w:lang w:val="en-GB"/>
              </w:rPr>
              <w:t>Art.</w:t>
            </w:r>
          </w:p>
        </w:tc>
        <w:tc>
          <w:tcPr>
            <w:tcW w:w="7869" w:type="dxa"/>
            <w:shd w:val="clear" w:color="auto" w:fill="F8F200"/>
          </w:tcPr>
          <w:p w:rsidR="00CA4165" w:rsidRPr="00044E23" w:rsidRDefault="00CA4165" w:rsidP="00F20BCF">
            <w:pPr>
              <w:rPr>
                <w:sz w:val="16"/>
                <w:szCs w:val="16"/>
                <w:lang w:val="en-GB"/>
              </w:rPr>
            </w:pPr>
            <w:r w:rsidRPr="00044E23">
              <w:rPr>
                <w:sz w:val="16"/>
                <w:szCs w:val="16"/>
                <w:lang w:val="en-GB"/>
              </w:rPr>
              <w:t>Obligation under DDPA</w:t>
            </w:r>
          </w:p>
        </w:tc>
      </w:tr>
      <w:tr w:rsidR="00CA4165" w:rsidRPr="00044E23" w:rsidTr="00CA4165">
        <w:tc>
          <w:tcPr>
            <w:tcW w:w="495" w:type="dxa"/>
            <w:tcBorders>
              <w:bottom w:val="single" w:sz="4" w:space="0" w:color="auto"/>
            </w:tcBorders>
          </w:tcPr>
          <w:p w:rsidR="00CA4165" w:rsidRPr="00044E23" w:rsidRDefault="00CA4165" w:rsidP="00F20BCF">
            <w:pPr>
              <w:rPr>
                <w:sz w:val="16"/>
                <w:szCs w:val="16"/>
                <w:lang w:val="en-GB"/>
              </w:rPr>
            </w:pPr>
            <w:r w:rsidRPr="00044E23">
              <w:rPr>
                <w:sz w:val="16"/>
                <w:szCs w:val="16"/>
                <w:lang w:val="en-GB"/>
              </w:rPr>
              <w:t>27</w:t>
            </w:r>
          </w:p>
        </w:tc>
        <w:tc>
          <w:tcPr>
            <w:tcW w:w="7869" w:type="dxa"/>
            <w:tcBorders>
              <w:bottom w:val="single" w:sz="4" w:space="0" w:color="auto"/>
            </w:tcBorders>
          </w:tcPr>
          <w:p w:rsidR="00CA4165" w:rsidRPr="00044E23" w:rsidRDefault="00CA4165" w:rsidP="00F20BCF">
            <w:pPr>
              <w:rPr>
                <w:sz w:val="16"/>
                <w:szCs w:val="16"/>
                <w:lang w:val="en-GB"/>
              </w:rPr>
            </w:pPr>
            <w:r w:rsidRPr="00044E23">
              <w:rPr>
                <w:sz w:val="16"/>
                <w:szCs w:val="16"/>
                <w:lang w:val="en-GB"/>
              </w:rPr>
              <w:t>Report full or partial processing of personal data required for the realisation of a purpose or of various related purposes</w:t>
            </w:r>
          </w:p>
        </w:tc>
      </w:tr>
      <w:tr w:rsidR="00CA4165" w:rsidRPr="00044E23" w:rsidTr="00CA4165">
        <w:tc>
          <w:tcPr>
            <w:tcW w:w="8364" w:type="dxa"/>
            <w:gridSpan w:val="2"/>
            <w:tcBorders>
              <w:top w:val="single" w:sz="4" w:space="0" w:color="auto"/>
              <w:bottom w:val="single" w:sz="4" w:space="0" w:color="auto"/>
            </w:tcBorders>
            <w:shd w:val="clear" w:color="auto" w:fill="FFFF00"/>
          </w:tcPr>
          <w:p w:rsidR="00CA4165" w:rsidRPr="00044E23" w:rsidRDefault="00CA4165" w:rsidP="00F20BCF">
            <w:pPr>
              <w:rPr>
                <w:i/>
                <w:sz w:val="16"/>
                <w:szCs w:val="16"/>
                <w:lang w:val="en-GB"/>
              </w:rPr>
            </w:pPr>
            <w:r w:rsidRPr="00044E23">
              <w:rPr>
                <w:i/>
                <w:sz w:val="16"/>
                <w:szCs w:val="16"/>
                <w:lang w:val="en-GB"/>
              </w:rPr>
              <w:t>By contrast, under Article 28 of the EDPR documents relating to processing operations must be kept.</w:t>
            </w:r>
          </w:p>
        </w:tc>
      </w:tr>
    </w:tbl>
    <w:p w:rsidR="00CA4165" w:rsidRPr="00044E23" w:rsidRDefault="00CA4165" w:rsidP="00CA4165">
      <w:pPr>
        <w:rPr>
          <w:lang w:val="en-GB"/>
        </w:rPr>
      </w:pPr>
    </w:p>
    <w:tbl>
      <w:tblPr>
        <w:tblStyle w:val="Tabellenraster"/>
        <w:tblW w:w="0" w:type="auto"/>
        <w:tblInd w:w="79" w:type="dxa"/>
        <w:tblLook w:val="04A0" w:firstRow="1" w:lastRow="0" w:firstColumn="1" w:lastColumn="0" w:noHBand="0" w:noVBand="1"/>
      </w:tblPr>
      <w:tblGrid>
        <w:gridCol w:w="495"/>
        <w:gridCol w:w="7869"/>
      </w:tblGrid>
      <w:tr w:rsidR="00CA4165" w:rsidRPr="00044E23" w:rsidTr="00CA4165">
        <w:tc>
          <w:tcPr>
            <w:tcW w:w="495" w:type="dxa"/>
            <w:shd w:val="clear" w:color="auto" w:fill="F8F200"/>
          </w:tcPr>
          <w:p w:rsidR="00CA4165" w:rsidRPr="00044E23" w:rsidRDefault="00CA4165" w:rsidP="00F20BCF">
            <w:pPr>
              <w:rPr>
                <w:sz w:val="16"/>
                <w:szCs w:val="16"/>
                <w:lang w:val="en-GB"/>
              </w:rPr>
            </w:pPr>
            <w:r w:rsidRPr="00044E23">
              <w:rPr>
                <w:sz w:val="16"/>
                <w:szCs w:val="16"/>
                <w:lang w:val="en-GB"/>
              </w:rPr>
              <w:t>Art.</w:t>
            </w:r>
          </w:p>
        </w:tc>
        <w:tc>
          <w:tcPr>
            <w:tcW w:w="7869" w:type="dxa"/>
            <w:shd w:val="clear" w:color="auto" w:fill="F8F200"/>
          </w:tcPr>
          <w:p w:rsidR="00CA4165" w:rsidRPr="00044E23" w:rsidRDefault="00CA4165" w:rsidP="00F20BCF">
            <w:pPr>
              <w:rPr>
                <w:sz w:val="16"/>
                <w:szCs w:val="16"/>
                <w:lang w:val="en-GB"/>
              </w:rPr>
            </w:pPr>
            <w:r w:rsidRPr="00044E23">
              <w:rPr>
                <w:sz w:val="16"/>
                <w:szCs w:val="16"/>
                <w:lang w:val="en-GB"/>
              </w:rPr>
              <w:t>Obligation under DDPA</w:t>
            </w:r>
          </w:p>
        </w:tc>
      </w:tr>
      <w:tr w:rsidR="00CA4165" w:rsidRPr="00044E23" w:rsidTr="00CA4165">
        <w:tc>
          <w:tcPr>
            <w:tcW w:w="495" w:type="dxa"/>
            <w:tcBorders>
              <w:bottom w:val="single" w:sz="4" w:space="0" w:color="auto"/>
            </w:tcBorders>
          </w:tcPr>
          <w:p w:rsidR="00CA4165" w:rsidRPr="00044E23" w:rsidRDefault="00CA4165" w:rsidP="00F20BCF">
            <w:pPr>
              <w:rPr>
                <w:sz w:val="16"/>
                <w:szCs w:val="16"/>
                <w:lang w:val="en-GB"/>
              </w:rPr>
            </w:pPr>
            <w:r w:rsidRPr="00044E23">
              <w:rPr>
                <w:sz w:val="16"/>
                <w:szCs w:val="16"/>
                <w:lang w:val="en-GB"/>
              </w:rPr>
              <w:t>27</w:t>
            </w:r>
          </w:p>
        </w:tc>
        <w:tc>
          <w:tcPr>
            <w:tcW w:w="7869" w:type="dxa"/>
            <w:tcBorders>
              <w:bottom w:val="single" w:sz="4" w:space="0" w:color="auto"/>
            </w:tcBorders>
          </w:tcPr>
          <w:p w:rsidR="00CA4165" w:rsidRPr="00044E23" w:rsidRDefault="00CA4165" w:rsidP="00F20BCF">
            <w:pPr>
              <w:rPr>
                <w:sz w:val="16"/>
                <w:szCs w:val="16"/>
                <w:lang w:val="en-GB"/>
              </w:rPr>
            </w:pPr>
            <w:r w:rsidRPr="00044E23">
              <w:rPr>
                <w:sz w:val="16"/>
                <w:szCs w:val="16"/>
                <w:lang w:val="en-GB"/>
              </w:rPr>
              <w:t>Report full or partial processing of personal data required for the realisation of a purpose or of various related purposes, where this is subject to a prior study.</w:t>
            </w:r>
          </w:p>
        </w:tc>
      </w:tr>
      <w:tr w:rsidR="00CA4165" w:rsidRPr="00044E23" w:rsidTr="00CA4165">
        <w:tc>
          <w:tcPr>
            <w:tcW w:w="8364" w:type="dxa"/>
            <w:gridSpan w:val="2"/>
            <w:tcBorders>
              <w:top w:val="single" w:sz="4" w:space="0" w:color="auto"/>
              <w:bottom w:val="single" w:sz="4" w:space="0" w:color="auto"/>
            </w:tcBorders>
            <w:shd w:val="clear" w:color="auto" w:fill="FFFF00"/>
          </w:tcPr>
          <w:p w:rsidR="00CA4165" w:rsidRPr="00044E23" w:rsidRDefault="00CA4165" w:rsidP="00F20BCF">
            <w:pPr>
              <w:rPr>
                <w:i/>
                <w:sz w:val="16"/>
                <w:szCs w:val="16"/>
                <w:lang w:val="en-GB"/>
              </w:rPr>
            </w:pPr>
            <w:r w:rsidRPr="00044E23">
              <w:rPr>
                <w:i/>
                <w:sz w:val="16"/>
                <w:szCs w:val="16"/>
                <w:lang w:val="en-GB"/>
              </w:rPr>
              <w:t>By contrast, under Article 28 of the EDPR documents relating to processing operations must be kept.</w:t>
            </w:r>
          </w:p>
        </w:tc>
      </w:tr>
    </w:tbl>
    <w:p w:rsidR="00CA4165" w:rsidRPr="00044E23" w:rsidRDefault="00CA4165" w:rsidP="00CA4165">
      <w:pPr>
        <w:rPr>
          <w:lang w:val="en-GB"/>
        </w:rPr>
      </w:pPr>
    </w:p>
    <w:tbl>
      <w:tblPr>
        <w:tblStyle w:val="Tabellenraster"/>
        <w:tblW w:w="8364" w:type="dxa"/>
        <w:tblInd w:w="79" w:type="dxa"/>
        <w:tblLook w:val="04A0" w:firstRow="1" w:lastRow="0" w:firstColumn="1" w:lastColumn="0" w:noHBand="0" w:noVBand="1"/>
      </w:tblPr>
      <w:tblGrid>
        <w:gridCol w:w="495"/>
        <w:gridCol w:w="7869"/>
      </w:tblGrid>
      <w:tr w:rsidR="00CA4165" w:rsidRPr="00044E23" w:rsidTr="00CA4165">
        <w:tc>
          <w:tcPr>
            <w:tcW w:w="495" w:type="dxa"/>
            <w:shd w:val="clear" w:color="auto" w:fill="F8F200"/>
          </w:tcPr>
          <w:p w:rsidR="00CA4165" w:rsidRPr="00044E23" w:rsidRDefault="00CA4165" w:rsidP="00F20BCF">
            <w:pPr>
              <w:rPr>
                <w:sz w:val="16"/>
                <w:szCs w:val="16"/>
                <w:lang w:val="en-GB"/>
              </w:rPr>
            </w:pPr>
            <w:r w:rsidRPr="00044E23">
              <w:rPr>
                <w:sz w:val="16"/>
                <w:szCs w:val="16"/>
                <w:lang w:val="en-GB"/>
              </w:rPr>
              <w:t>Art.</w:t>
            </w:r>
          </w:p>
        </w:tc>
        <w:tc>
          <w:tcPr>
            <w:tcW w:w="7869" w:type="dxa"/>
            <w:shd w:val="clear" w:color="auto" w:fill="F8F200"/>
          </w:tcPr>
          <w:p w:rsidR="00CA4165" w:rsidRPr="00044E23" w:rsidRDefault="00CA4165" w:rsidP="00F20BCF">
            <w:pPr>
              <w:rPr>
                <w:sz w:val="16"/>
                <w:szCs w:val="16"/>
                <w:lang w:val="en-GB"/>
              </w:rPr>
            </w:pPr>
            <w:r w:rsidRPr="00044E23">
              <w:rPr>
                <w:sz w:val="16"/>
                <w:szCs w:val="16"/>
                <w:lang w:val="en-GB"/>
              </w:rPr>
              <w:t>Obligation under DDPA</w:t>
            </w:r>
          </w:p>
        </w:tc>
      </w:tr>
      <w:tr w:rsidR="00CA4165" w:rsidRPr="00044E23" w:rsidTr="00CA4165">
        <w:tc>
          <w:tcPr>
            <w:tcW w:w="495" w:type="dxa"/>
            <w:tcBorders>
              <w:bottom w:val="single" w:sz="4" w:space="0" w:color="auto"/>
            </w:tcBorders>
          </w:tcPr>
          <w:p w:rsidR="00CA4165" w:rsidRPr="00044E23" w:rsidRDefault="00CA4165" w:rsidP="00F20BCF">
            <w:pPr>
              <w:rPr>
                <w:sz w:val="16"/>
                <w:szCs w:val="16"/>
                <w:lang w:val="en-GB"/>
              </w:rPr>
            </w:pPr>
            <w:r w:rsidRPr="00044E23">
              <w:rPr>
                <w:sz w:val="16"/>
                <w:szCs w:val="16"/>
                <w:lang w:val="en-GB"/>
              </w:rPr>
              <w:t>28</w:t>
            </w:r>
          </w:p>
        </w:tc>
        <w:tc>
          <w:tcPr>
            <w:tcW w:w="7869" w:type="dxa"/>
            <w:tcBorders>
              <w:bottom w:val="single" w:sz="4" w:space="0" w:color="auto"/>
            </w:tcBorders>
          </w:tcPr>
          <w:p w:rsidR="00CA4165" w:rsidRPr="00044E23" w:rsidRDefault="00CA4165" w:rsidP="00F20BCF">
            <w:pPr>
              <w:rPr>
                <w:sz w:val="16"/>
                <w:szCs w:val="16"/>
                <w:lang w:val="en-GB"/>
              </w:rPr>
            </w:pPr>
            <w:r w:rsidRPr="00044E23">
              <w:rPr>
                <w:sz w:val="16"/>
                <w:szCs w:val="16"/>
                <w:lang w:val="en-GB"/>
              </w:rPr>
              <w:t>Reporting changes to initial report</w:t>
            </w:r>
          </w:p>
        </w:tc>
      </w:tr>
      <w:tr w:rsidR="00CA4165" w:rsidRPr="00044E23" w:rsidTr="00CA4165">
        <w:tc>
          <w:tcPr>
            <w:tcW w:w="8364" w:type="dxa"/>
            <w:gridSpan w:val="2"/>
            <w:tcBorders>
              <w:top w:val="single" w:sz="4" w:space="0" w:color="auto"/>
              <w:bottom w:val="single" w:sz="4" w:space="0" w:color="auto"/>
            </w:tcBorders>
            <w:shd w:val="clear" w:color="auto" w:fill="FFFF00"/>
          </w:tcPr>
          <w:p w:rsidR="00CA4165" w:rsidRPr="00044E23" w:rsidRDefault="00CA4165" w:rsidP="00F20BCF">
            <w:pPr>
              <w:rPr>
                <w:i/>
                <w:sz w:val="16"/>
                <w:szCs w:val="16"/>
                <w:lang w:val="en-GB"/>
              </w:rPr>
            </w:pPr>
            <w:r w:rsidRPr="00044E23">
              <w:rPr>
                <w:i/>
                <w:sz w:val="16"/>
                <w:szCs w:val="16"/>
                <w:lang w:val="en-GB"/>
              </w:rPr>
              <w:t>By contrast, under Article 28 of the EDPR documents relating to processing operations must be kept.</w:t>
            </w:r>
          </w:p>
        </w:tc>
      </w:tr>
    </w:tbl>
    <w:p w:rsidR="00F43AD2" w:rsidRPr="00044E23" w:rsidRDefault="00F43AD2" w:rsidP="00033B19">
      <w:pPr>
        <w:pStyle w:val="berschrift4"/>
        <w:rPr>
          <w:lang w:val="en-GB"/>
        </w:rPr>
      </w:pPr>
      <w:r w:rsidRPr="00044E23">
        <w:rPr>
          <w:lang w:val="en-GB"/>
        </w:rPr>
        <w:t>Other obligations that give rise to CC</w:t>
      </w:r>
    </w:p>
    <w:p w:rsidR="00C34381" w:rsidRPr="00044E23" w:rsidRDefault="00C34381" w:rsidP="00C34381">
      <w:pPr>
        <w:rPr>
          <w:lang w:val="en-GB"/>
        </w:rPr>
      </w:pPr>
    </w:p>
    <w:tbl>
      <w:tblPr>
        <w:tblStyle w:val="Tabellenraster"/>
        <w:tblW w:w="0" w:type="auto"/>
        <w:tblInd w:w="79" w:type="dxa"/>
        <w:tblLook w:val="04A0" w:firstRow="1" w:lastRow="0" w:firstColumn="1" w:lastColumn="0" w:noHBand="0" w:noVBand="1"/>
      </w:tblPr>
      <w:tblGrid>
        <w:gridCol w:w="495"/>
        <w:gridCol w:w="7869"/>
      </w:tblGrid>
      <w:tr w:rsidR="00465CD6" w:rsidRPr="00044E23" w:rsidTr="00465CD6">
        <w:tc>
          <w:tcPr>
            <w:tcW w:w="495" w:type="dxa"/>
            <w:shd w:val="clear" w:color="auto" w:fill="F8F200"/>
          </w:tcPr>
          <w:p w:rsidR="00465CD6" w:rsidRPr="00044E23" w:rsidRDefault="00465CD6" w:rsidP="00F20BCF">
            <w:pPr>
              <w:rPr>
                <w:sz w:val="16"/>
                <w:szCs w:val="16"/>
                <w:lang w:val="en-GB"/>
              </w:rPr>
            </w:pPr>
            <w:r w:rsidRPr="00044E23">
              <w:rPr>
                <w:sz w:val="16"/>
                <w:szCs w:val="16"/>
                <w:lang w:val="en-GB"/>
              </w:rPr>
              <w:t>Art.</w:t>
            </w:r>
          </w:p>
        </w:tc>
        <w:tc>
          <w:tcPr>
            <w:tcW w:w="7869" w:type="dxa"/>
            <w:shd w:val="clear" w:color="auto" w:fill="F8F200"/>
          </w:tcPr>
          <w:p w:rsidR="00465CD6" w:rsidRPr="00044E23" w:rsidRDefault="00465CD6" w:rsidP="00F20BCF">
            <w:pPr>
              <w:rPr>
                <w:sz w:val="16"/>
                <w:szCs w:val="16"/>
                <w:lang w:val="en-GB"/>
              </w:rPr>
            </w:pPr>
            <w:r w:rsidRPr="00044E23">
              <w:rPr>
                <w:sz w:val="16"/>
                <w:szCs w:val="16"/>
                <w:lang w:val="en-GB"/>
              </w:rPr>
              <w:t>Obligation under DDPA</w:t>
            </w:r>
          </w:p>
        </w:tc>
      </w:tr>
      <w:tr w:rsidR="00465CD6" w:rsidRPr="00044E23" w:rsidTr="00465CD6">
        <w:tc>
          <w:tcPr>
            <w:tcW w:w="495" w:type="dxa"/>
            <w:tcBorders>
              <w:bottom w:val="single" w:sz="4" w:space="0" w:color="auto"/>
            </w:tcBorders>
          </w:tcPr>
          <w:p w:rsidR="00465CD6" w:rsidRPr="00044E23" w:rsidRDefault="00465CD6" w:rsidP="00F20BCF">
            <w:pPr>
              <w:rPr>
                <w:sz w:val="16"/>
                <w:szCs w:val="16"/>
                <w:lang w:val="en-GB"/>
              </w:rPr>
            </w:pPr>
            <w:r w:rsidRPr="00044E23">
              <w:rPr>
                <w:sz w:val="16"/>
                <w:szCs w:val="16"/>
                <w:lang w:val="en-GB"/>
              </w:rPr>
              <w:t>28</w:t>
            </w:r>
          </w:p>
        </w:tc>
        <w:tc>
          <w:tcPr>
            <w:tcW w:w="7869" w:type="dxa"/>
            <w:tcBorders>
              <w:bottom w:val="single" w:sz="4" w:space="0" w:color="auto"/>
            </w:tcBorders>
          </w:tcPr>
          <w:p w:rsidR="00465CD6" w:rsidRPr="00044E23" w:rsidRDefault="00465CD6" w:rsidP="00F20BCF">
            <w:pPr>
              <w:rPr>
                <w:sz w:val="16"/>
                <w:szCs w:val="16"/>
                <w:lang w:val="en-GB"/>
              </w:rPr>
            </w:pPr>
            <w:r w:rsidRPr="00044E23">
              <w:rPr>
                <w:sz w:val="16"/>
                <w:szCs w:val="16"/>
                <w:lang w:val="en-GB"/>
              </w:rPr>
              <w:t>Record non-standard processing operation and keep for three years</w:t>
            </w:r>
          </w:p>
        </w:tc>
      </w:tr>
      <w:tr w:rsidR="00465CD6" w:rsidRPr="00044E23" w:rsidTr="00465CD6">
        <w:tc>
          <w:tcPr>
            <w:tcW w:w="8364" w:type="dxa"/>
            <w:gridSpan w:val="2"/>
            <w:tcBorders>
              <w:top w:val="single" w:sz="4" w:space="0" w:color="auto"/>
              <w:bottom w:val="single" w:sz="4" w:space="0" w:color="auto"/>
            </w:tcBorders>
            <w:shd w:val="clear" w:color="auto" w:fill="FFFF00"/>
          </w:tcPr>
          <w:p w:rsidR="00465CD6" w:rsidRPr="00044E23" w:rsidRDefault="00465CD6" w:rsidP="00F20BCF">
            <w:pPr>
              <w:rPr>
                <w:i/>
                <w:sz w:val="16"/>
                <w:szCs w:val="16"/>
                <w:lang w:val="en-GB"/>
              </w:rPr>
            </w:pPr>
            <w:r w:rsidRPr="00044E23">
              <w:rPr>
                <w:i/>
                <w:sz w:val="16"/>
                <w:szCs w:val="16"/>
                <w:lang w:val="en-GB"/>
              </w:rPr>
              <w:t>By contrast, under Article 28 of the EDPR documents relating to processing operations must be kept.</w:t>
            </w:r>
          </w:p>
        </w:tc>
      </w:tr>
    </w:tbl>
    <w:p w:rsidR="00465CD6" w:rsidRPr="00044E23" w:rsidRDefault="00465CD6" w:rsidP="00465CD6">
      <w:pPr>
        <w:rPr>
          <w:lang w:val="en-GB"/>
        </w:rPr>
      </w:pPr>
    </w:p>
    <w:tbl>
      <w:tblPr>
        <w:tblStyle w:val="Tabellenraster"/>
        <w:tblW w:w="0" w:type="auto"/>
        <w:tblInd w:w="79" w:type="dxa"/>
        <w:tblLook w:val="04A0" w:firstRow="1" w:lastRow="0" w:firstColumn="1" w:lastColumn="0" w:noHBand="0" w:noVBand="1"/>
      </w:tblPr>
      <w:tblGrid>
        <w:gridCol w:w="495"/>
        <w:gridCol w:w="7869"/>
      </w:tblGrid>
      <w:tr w:rsidR="00465CD6" w:rsidRPr="00044E23" w:rsidTr="00465CD6">
        <w:tc>
          <w:tcPr>
            <w:tcW w:w="495" w:type="dxa"/>
            <w:shd w:val="clear" w:color="auto" w:fill="F8F200"/>
          </w:tcPr>
          <w:p w:rsidR="00465CD6" w:rsidRPr="00044E23" w:rsidRDefault="00465CD6" w:rsidP="00F20BCF">
            <w:pPr>
              <w:rPr>
                <w:sz w:val="16"/>
                <w:szCs w:val="16"/>
                <w:lang w:val="en-GB"/>
              </w:rPr>
            </w:pPr>
            <w:r w:rsidRPr="00044E23">
              <w:rPr>
                <w:sz w:val="16"/>
                <w:szCs w:val="16"/>
                <w:lang w:val="en-GB"/>
              </w:rPr>
              <w:t>Art.</w:t>
            </w:r>
          </w:p>
        </w:tc>
        <w:tc>
          <w:tcPr>
            <w:tcW w:w="7869" w:type="dxa"/>
            <w:shd w:val="clear" w:color="auto" w:fill="F8F200"/>
          </w:tcPr>
          <w:p w:rsidR="00465CD6" w:rsidRPr="00044E23" w:rsidRDefault="00465CD6" w:rsidP="00F20BCF">
            <w:pPr>
              <w:rPr>
                <w:sz w:val="16"/>
                <w:szCs w:val="16"/>
                <w:lang w:val="en-GB"/>
              </w:rPr>
            </w:pPr>
            <w:r w:rsidRPr="00044E23">
              <w:rPr>
                <w:sz w:val="16"/>
                <w:szCs w:val="16"/>
                <w:lang w:val="en-GB"/>
              </w:rPr>
              <w:t>Obligation under DDPA</w:t>
            </w:r>
          </w:p>
        </w:tc>
      </w:tr>
      <w:tr w:rsidR="00465CD6" w:rsidRPr="00044E23" w:rsidTr="00465CD6">
        <w:tc>
          <w:tcPr>
            <w:tcW w:w="495" w:type="dxa"/>
            <w:tcBorders>
              <w:bottom w:val="single" w:sz="4" w:space="0" w:color="auto"/>
            </w:tcBorders>
          </w:tcPr>
          <w:p w:rsidR="00465CD6" w:rsidRPr="00044E23" w:rsidRDefault="00465CD6" w:rsidP="00F20BCF">
            <w:pPr>
              <w:rPr>
                <w:sz w:val="16"/>
                <w:szCs w:val="16"/>
                <w:lang w:val="en-GB"/>
              </w:rPr>
            </w:pPr>
            <w:r w:rsidRPr="00044E23">
              <w:rPr>
                <w:sz w:val="16"/>
                <w:szCs w:val="16"/>
                <w:lang w:val="en-GB"/>
              </w:rPr>
              <w:t>30</w:t>
            </w:r>
          </w:p>
        </w:tc>
        <w:tc>
          <w:tcPr>
            <w:tcW w:w="7869" w:type="dxa"/>
            <w:tcBorders>
              <w:bottom w:val="single" w:sz="4" w:space="0" w:color="auto"/>
            </w:tcBorders>
          </w:tcPr>
          <w:p w:rsidR="00465CD6" w:rsidRPr="00044E23" w:rsidRDefault="00465CD6" w:rsidP="00F20BCF">
            <w:pPr>
              <w:rPr>
                <w:sz w:val="16"/>
                <w:szCs w:val="16"/>
                <w:lang w:val="en-GB"/>
              </w:rPr>
            </w:pPr>
            <w:r w:rsidRPr="00044E23">
              <w:rPr>
                <w:sz w:val="16"/>
                <w:szCs w:val="16"/>
                <w:lang w:val="en-GB"/>
              </w:rPr>
              <w:t>Keep a register of notified data processing operations (including other activities of the data protection officer)</w:t>
            </w:r>
          </w:p>
        </w:tc>
      </w:tr>
      <w:tr w:rsidR="00465CD6" w:rsidRPr="00044E23" w:rsidTr="00465CD6">
        <w:tc>
          <w:tcPr>
            <w:tcW w:w="8364" w:type="dxa"/>
            <w:gridSpan w:val="2"/>
            <w:tcBorders>
              <w:top w:val="single" w:sz="4" w:space="0" w:color="auto"/>
              <w:bottom w:val="single" w:sz="4" w:space="0" w:color="auto"/>
            </w:tcBorders>
            <w:shd w:val="clear" w:color="auto" w:fill="FFFF00"/>
          </w:tcPr>
          <w:p w:rsidR="004126FA" w:rsidRPr="00044E23" w:rsidRDefault="004126FA" w:rsidP="00906474">
            <w:pPr>
              <w:rPr>
                <w:i/>
                <w:sz w:val="16"/>
                <w:szCs w:val="16"/>
                <w:lang w:val="en-GB"/>
              </w:rPr>
            </w:pPr>
            <w:r w:rsidRPr="00044E23">
              <w:rPr>
                <w:i/>
                <w:sz w:val="16"/>
                <w:szCs w:val="16"/>
                <w:lang w:val="en-GB"/>
              </w:rPr>
              <w:t xml:space="preserve">In the DDPA, </w:t>
            </w:r>
            <w:r w:rsidRPr="00044E23">
              <w:rPr>
                <w:b/>
                <w:i/>
                <w:sz w:val="16"/>
                <w:szCs w:val="16"/>
                <w:lang w:val="en-GB"/>
              </w:rPr>
              <w:t>the designation</w:t>
            </w:r>
            <w:r w:rsidRPr="00044E23">
              <w:rPr>
                <w:i/>
                <w:sz w:val="16"/>
                <w:szCs w:val="16"/>
                <w:lang w:val="en-GB"/>
              </w:rPr>
              <w:t xml:space="preserve"> of a data protection officer is not obligatory. However, this action has been taken into account in the study because the costs were included in the AB baseline measurement. This ensures that comparability with the AB baseline is retained.</w:t>
            </w:r>
          </w:p>
          <w:p w:rsidR="00465CD6" w:rsidRPr="00044E23" w:rsidRDefault="00465CD6" w:rsidP="00072D8F">
            <w:pPr>
              <w:rPr>
                <w:i/>
                <w:sz w:val="16"/>
                <w:szCs w:val="16"/>
                <w:lang w:val="en-GB"/>
              </w:rPr>
            </w:pPr>
            <w:r w:rsidRPr="00044E23">
              <w:rPr>
                <w:i/>
                <w:sz w:val="16"/>
                <w:szCs w:val="16"/>
                <w:lang w:val="en-GB"/>
              </w:rPr>
              <w:t xml:space="preserve">By contrast, under Article 37 of the EDPR, the data protection officer must ensure that documentation on data processing operations is retained. All duties of the data protection officer under the EDPR have of course been included in the calculation of the EDPR effects (under Article 35 of the EDPR). </w:t>
            </w:r>
          </w:p>
        </w:tc>
      </w:tr>
    </w:tbl>
    <w:p w:rsidR="00465CD6" w:rsidRPr="00044E23" w:rsidRDefault="00465CD6" w:rsidP="00465CD6">
      <w:pPr>
        <w:rPr>
          <w:lang w:val="en-GB"/>
        </w:rPr>
      </w:pPr>
    </w:p>
    <w:tbl>
      <w:tblPr>
        <w:tblStyle w:val="Tabellenraster"/>
        <w:tblW w:w="0" w:type="auto"/>
        <w:tblInd w:w="79" w:type="dxa"/>
        <w:tblLook w:val="04A0" w:firstRow="1" w:lastRow="0" w:firstColumn="1" w:lastColumn="0" w:noHBand="0" w:noVBand="1"/>
      </w:tblPr>
      <w:tblGrid>
        <w:gridCol w:w="495"/>
        <w:gridCol w:w="7869"/>
      </w:tblGrid>
      <w:tr w:rsidR="00465CD6" w:rsidRPr="00044E23" w:rsidTr="00072D8F">
        <w:tc>
          <w:tcPr>
            <w:tcW w:w="495" w:type="dxa"/>
            <w:shd w:val="clear" w:color="auto" w:fill="F8F200"/>
          </w:tcPr>
          <w:p w:rsidR="00465CD6" w:rsidRPr="00044E23" w:rsidRDefault="00465CD6" w:rsidP="00F20BCF">
            <w:pPr>
              <w:rPr>
                <w:sz w:val="16"/>
                <w:szCs w:val="16"/>
                <w:lang w:val="en-GB"/>
              </w:rPr>
            </w:pPr>
            <w:r w:rsidRPr="00044E23">
              <w:rPr>
                <w:sz w:val="16"/>
                <w:szCs w:val="16"/>
                <w:lang w:val="en-GB"/>
              </w:rPr>
              <w:t>Art.</w:t>
            </w:r>
          </w:p>
        </w:tc>
        <w:tc>
          <w:tcPr>
            <w:tcW w:w="7869" w:type="dxa"/>
            <w:shd w:val="clear" w:color="auto" w:fill="F8F200"/>
          </w:tcPr>
          <w:p w:rsidR="00465CD6" w:rsidRPr="00044E23" w:rsidRDefault="00465CD6" w:rsidP="00F20BCF">
            <w:pPr>
              <w:rPr>
                <w:sz w:val="16"/>
                <w:szCs w:val="16"/>
                <w:lang w:val="en-GB"/>
              </w:rPr>
            </w:pPr>
            <w:r w:rsidRPr="00044E23">
              <w:rPr>
                <w:sz w:val="16"/>
                <w:szCs w:val="16"/>
                <w:lang w:val="en-GB"/>
              </w:rPr>
              <w:t>Obligation under DDPA</w:t>
            </w:r>
          </w:p>
        </w:tc>
      </w:tr>
      <w:tr w:rsidR="00465CD6" w:rsidRPr="00044E23" w:rsidTr="00072D8F">
        <w:tc>
          <w:tcPr>
            <w:tcW w:w="495" w:type="dxa"/>
          </w:tcPr>
          <w:p w:rsidR="00465CD6" w:rsidRPr="00044E23" w:rsidRDefault="00465CD6" w:rsidP="00F20BCF">
            <w:pPr>
              <w:rPr>
                <w:sz w:val="16"/>
                <w:szCs w:val="16"/>
                <w:lang w:val="en-GB"/>
              </w:rPr>
            </w:pPr>
            <w:r w:rsidRPr="00044E23">
              <w:rPr>
                <w:sz w:val="16"/>
                <w:szCs w:val="16"/>
                <w:lang w:val="en-GB"/>
              </w:rPr>
              <w:t>30</w:t>
            </w:r>
          </w:p>
        </w:tc>
        <w:tc>
          <w:tcPr>
            <w:tcW w:w="7869" w:type="dxa"/>
          </w:tcPr>
          <w:p w:rsidR="00465CD6" w:rsidRPr="00044E23" w:rsidRDefault="00465CD6" w:rsidP="00F20BCF">
            <w:pPr>
              <w:rPr>
                <w:sz w:val="16"/>
                <w:szCs w:val="16"/>
                <w:lang w:val="en-GB"/>
              </w:rPr>
            </w:pPr>
            <w:r w:rsidRPr="00044E23">
              <w:rPr>
                <w:sz w:val="16"/>
                <w:szCs w:val="16"/>
                <w:lang w:val="en-GB"/>
              </w:rPr>
              <w:t>Provision of information as referred to in Article 28 (1a-e) concerning the notification of exempt data processing operations to anyone who submits a request.</w:t>
            </w:r>
          </w:p>
        </w:tc>
      </w:tr>
    </w:tbl>
    <w:p w:rsidR="00C34381" w:rsidRPr="00044E23" w:rsidRDefault="00C34381" w:rsidP="00C34381">
      <w:pPr>
        <w:pStyle w:val="berschrift2"/>
        <w:numPr>
          <w:ilvl w:val="0"/>
          <w:numId w:val="0"/>
        </w:numPr>
        <w:rPr>
          <w:lang w:val="en-GB"/>
        </w:rPr>
      </w:pPr>
    </w:p>
    <w:p w:rsidR="00C34381" w:rsidRPr="00044E23" w:rsidRDefault="00C34381">
      <w:pPr>
        <w:ind w:left="-851"/>
        <w:jc w:val="left"/>
        <w:rPr>
          <w:rFonts w:eastAsiaTheme="majorEastAsia" w:cstheme="majorBidi"/>
          <w:b/>
          <w:bCs/>
          <w:color w:val="000080"/>
          <w:sz w:val="24"/>
          <w:szCs w:val="26"/>
          <w:lang w:val="en-GB"/>
        </w:rPr>
      </w:pPr>
      <w:r w:rsidRPr="00044E23">
        <w:rPr>
          <w:lang w:val="en-GB"/>
        </w:rPr>
        <w:br w:type="page"/>
      </w:r>
    </w:p>
    <w:p w:rsidR="00F43AD2" w:rsidRPr="00044E23" w:rsidRDefault="00F43AD2" w:rsidP="00F43AD2">
      <w:pPr>
        <w:pStyle w:val="berschrift2"/>
        <w:rPr>
          <w:lang w:val="en-GB"/>
        </w:rPr>
      </w:pPr>
      <w:bookmarkStart w:id="10" w:name="_Toc360101913"/>
      <w:r w:rsidRPr="00044E23">
        <w:rPr>
          <w:lang w:val="en-GB"/>
        </w:rPr>
        <w:t>Obligations that only apply in the proposed situation</w:t>
      </w:r>
      <w:bookmarkEnd w:id="10"/>
    </w:p>
    <w:p w:rsidR="000F108F" w:rsidRPr="00044E23" w:rsidRDefault="008F27A1" w:rsidP="00F43AD2">
      <w:pPr>
        <w:rPr>
          <w:lang w:val="en-GB"/>
        </w:rPr>
      </w:pPr>
      <w:r w:rsidRPr="00044E23">
        <w:rPr>
          <w:lang w:val="en-GB"/>
        </w:rPr>
        <w:t>This section describes the obligations that would only apply under the proposed European Data Protection Regulation (EDPR). This refers to new obligations compared to the current regime with the Dutch Data Protection Act (DDPA). An explanation is given for each obligation. The explanation includes:</w:t>
      </w:r>
    </w:p>
    <w:p w:rsidR="0098324E" w:rsidRPr="00044E23" w:rsidRDefault="0098324E" w:rsidP="000F108F">
      <w:pPr>
        <w:pStyle w:val="Listenabsatz"/>
        <w:numPr>
          <w:ilvl w:val="0"/>
          <w:numId w:val="20"/>
        </w:numPr>
        <w:ind w:left="357" w:hanging="357"/>
        <w:rPr>
          <w:lang w:val="en-GB"/>
        </w:rPr>
      </w:pPr>
      <w:r w:rsidRPr="00044E23">
        <w:rPr>
          <w:lang w:val="en-GB"/>
        </w:rPr>
        <w:t>Where relevant, the fact that the obligation could not be quantified.</w:t>
      </w:r>
    </w:p>
    <w:p w:rsidR="0098324E" w:rsidRPr="00044E23" w:rsidRDefault="0098324E" w:rsidP="0098324E">
      <w:pPr>
        <w:pStyle w:val="Listenabsatz"/>
        <w:numPr>
          <w:ilvl w:val="0"/>
          <w:numId w:val="20"/>
        </w:numPr>
        <w:ind w:left="357" w:hanging="357"/>
        <w:rPr>
          <w:lang w:val="en-GB"/>
        </w:rPr>
      </w:pPr>
      <w:r w:rsidRPr="00044E23">
        <w:rPr>
          <w:lang w:val="en-GB"/>
        </w:rPr>
        <w:t>The assumptions that had to be made to quantify the obligation.</w:t>
      </w:r>
    </w:p>
    <w:p w:rsidR="000F108F" w:rsidRPr="00044E23" w:rsidRDefault="000F108F" w:rsidP="000F108F">
      <w:pPr>
        <w:pStyle w:val="Listenabsatz"/>
        <w:numPr>
          <w:ilvl w:val="0"/>
          <w:numId w:val="20"/>
        </w:numPr>
        <w:ind w:left="357" w:hanging="357"/>
        <w:rPr>
          <w:lang w:val="en-GB"/>
        </w:rPr>
      </w:pPr>
      <w:r w:rsidRPr="00044E23">
        <w:rPr>
          <w:lang w:val="en-GB"/>
        </w:rPr>
        <w:t>Any remarks from the interviews that are relevant, but not quantifiable.</w:t>
      </w:r>
    </w:p>
    <w:p w:rsidR="00F43AD2" w:rsidRPr="00044E23" w:rsidRDefault="00F43AD2" w:rsidP="00033B19">
      <w:pPr>
        <w:pStyle w:val="berschrift4"/>
        <w:rPr>
          <w:lang w:val="en-GB"/>
        </w:rPr>
      </w:pPr>
      <w:r w:rsidRPr="00044E23">
        <w:rPr>
          <w:lang w:val="en-GB"/>
        </w:rPr>
        <w:t>Information o</w:t>
      </w:r>
      <w:r w:rsidR="00C30982" w:rsidRPr="00044E23">
        <w:rPr>
          <w:lang w:val="en-GB"/>
        </w:rPr>
        <w:t>bligations that give rise to AB</w:t>
      </w:r>
    </w:p>
    <w:p w:rsidR="00C34381" w:rsidRPr="00044E23" w:rsidRDefault="00C34381" w:rsidP="00C34381">
      <w:pPr>
        <w:rPr>
          <w:lang w:val="en-GB"/>
        </w:rPr>
      </w:pPr>
    </w:p>
    <w:tbl>
      <w:tblPr>
        <w:tblStyle w:val="Tabellenraster"/>
        <w:tblW w:w="8364" w:type="dxa"/>
        <w:tblInd w:w="108" w:type="dxa"/>
        <w:tblLook w:val="04A0" w:firstRow="1" w:lastRow="0" w:firstColumn="1" w:lastColumn="0" w:noHBand="0" w:noVBand="1"/>
      </w:tblPr>
      <w:tblGrid>
        <w:gridCol w:w="495"/>
        <w:gridCol w:w="7869"/>
      </w:tblGrid>
      <w:tr w:rsidR="00F10CF8" w:rsidRPr="00044E23" w:rsidTr="001C4079">
        <w:tc>
          <w:tcPr>
            <w:tcW w:w="495" w:type="dxa"/>
            <w:shd w:val="clear" w:color="auto" w:fill="B8CCE4" w:themeFill="accent1" w:themeFillTint="66"/>
          </w:tcPr>
          <w:p w:rsidR="00F10CF8" w:rsidRPr="00044E23" w:rsidRDefault="00F10CF8"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F10CF8" w:rsidRPr="00044E23" w:rsidRDefault="00F10CF8" w:rsidP="00F20BCF">
            <w:pPr>
              <w:rPr>
                <w:sz w:val="16"/>
                <w:szCs w:val="16"/>
                <w:lang w:val="en-GB"/>
              </w:rPr>
            </w:pPr>
            <w:r w:rsidRPr="00044E23">
              <w:rPr>
                <w:sz w:val="16"/>
                <w:szCs w:val="16"/>
                <w:lang w:val="en-GB"/>
              </w:rPr>
              <w:t>Obligation under EDPR</w:t>
            </w:r>
          </w:p>
        </w:tc>
      </w:tr>
      <w:tr w:rsidR="00F10CF8" w:rsidRPr="00044E23" w:rsidTr="001C4079">
        <w:tc>
          <w:tcPr>
            <w:tcW w:w="495" w:type="dxa"/>
            <w:tcBorders>
              <w:bottom w:val="single" w:sz="4" w:space="0" w:color="auto"/>
            </w:tcBorders>
          </w:tcPr>
          <w:p w:rsidR="00F10CF8" w:rsidRPr="00044E23" w:rsidRDefault="00F10CF8" w:rsidP="00F20BCF">
            <w:pPr>
              <w:rPr>
                <w:sz w:val="16"/>
                <w:szCs w:val="16"/>
                <w:lang w:val="en-GB"/>
              </w:rPr>
            </w:pPr>
            <w:r w:rsidRPr="00044E23">
              <w:rPr>
                <w:sz w:val="16"/>
                <w:szCs w:val="16"/>
                <w:lang w:val="en-GB"/>
              </w:rPr>
              <w:t>31</w:t>
            </w:r>
          </w:p>
        </w:tc>
        <w:tc>
          <w:tcPr>
            <w:tcW w:w="7869" w:type="dxa"/>
            <w:tcBorders>
              <w:bottom w:val="single" w:sz="4" w:space="0" w:color="auto"/>
            </w:tcBorders>
          </w:tcPr>
          <w:p w:rsidR="00F10CF8" w:rsidRPr="00044E23" w:rsidRDefault="00F10CF8" w:rsidP="00F20BCF">
            <w:pPr>
              <w:rPr>
                <w:sz w:val="16"/>
                <w:szCs w:val="16"/>
                <w:lang w:val="en-GB"/>
              </w:rPr>
            </w:pPr>
            <w:r w:rsidRPr="00044E23">
              <w:rPr>
                <w:sz w:val="16"/>
                <w:szCs w:val="16"/>
                <w:lang w:val="en-GB"/>
              </w:rPr>
              <w:t>Reporting data protection breaches to the supervisory authority.</w:t>
            </w:r>
          </w:p>
        </w:tc>
      </w:tr>
      <w:tr w:rsidR="00F10CF8" w:rsidRPr="00044E23" w:rsidTr="001C4079">
        <w:tc>
          <w:tcPr>
            <w:tcW w:w="8364" w:type="dxa"/>
            <w:gridSpan w:val="2"/>
            <w:tcBorders>
              <w:top w:val="single" w:sz="4" w:space="0" w:color="auto"/>
              <w:bottom w:val="single" w:sz="4" w:space="0" w:color="auto"/>
            </w:tcBorders>
            <w:shd w:val="clear" w:color="auto" w:fill="DEE7F2"/>
          </w:tcPr>
          <w:p w:rsidR="00F10CF8" w:rsidRPr="00044E23" w:rsidRDefault="009B7B04" w:rsidP="00237E68">
            <w:pPr>
              <w:rPr>
                <w:i/>
                <w:sz w:val="16"/>
                <w:szCs w:val="16"/>
                <w:lang w:val="en-GB"/>
              </w:rPr>
            </w:pPr>
            <w:r w:rsidRPr="00044E23">
              <w:rPr>
                <w:i/>
                <w:sz w:val="16"/>
                <w:szCs w:val="16"/>
                <w:lang w:val="en-GB"/>
              </w:rPr>
              <w:t>The assumption for the calculation is that the number of reports will double compared to the calculation of the costs relating to the proposed Dutch legislation on the duty to report data leaks (wetsvoorstel meldplicht datalekken)</w:t>
            </w:r>
            <w:r w:rsidR="000E25E0" w:rsidRPr="00044E23">
              <w:rPr>
                <w:rStyle w:val="Funotenzeichen"/>
                <w:i/>
                <w:sz w:val="16"/>
                <w:szCs w:val="16"/>
                <w:lang w:val="en-GB"/>
              </w:rPr>
              <w:footnoteReference w:id="9"/>
            </w:r>
            <w:r w:rsidR="00F10CF8" w:rsidRPr="00044E23">
              <w:rPr>
                <w:i/>
                <w:sz w:val="16"/>
                <w:szCs w:val="16"/>
                <w:lang w:val="en-GB"/>
              </w:rPr>
              <w:t>. The proposed legislation includes a softer regime for 'minor' breaches, while under the EDPR all breaches must be reported.</w:t>
            </w:r>
          </w:p>
          <w:p w:rsidR="00E16809" w:rsidRPr="00044E23" w:rsidRDefault="00E16809" w:rsidP="000E25E0">
            <w:pPr>
              <w:rPr>
                <w:i/>
                <w:sz w:val="16"/>
                <w:szCs w:val="16"/>
                <w:lang w:val="en-GB"/>
              </w:rPr>
            </w:pPr>
            <w:r w:rsidRPr="00044E23">
              <w:rPr>
                <w:i/>
                <w:sz w:val="16"/>
                <w:szCs w:val="16"/>
                <w:lang w:val="en-GB"/>
              </w:rPr>
              <w:t>Furthermore, only the costs of submitting the report have been taken into account. This ensures that comparability with the calculation of costs for the proposed Dutch legislation on the duty to report data leaks is retained. The study that a business conducts into the cause of a data leak and its solution is not taken into account.</w:t>
            </w:r>
          </w:p>
        </w:tc>
      </w:tr>
    </w:tbl>
    <w:p w:rsidR="001C4079" w:rsidRPr="00044E23" w:rsidRDefault="001C4079" w:rsidP="001C4079">
      <w:pPr>
        <w:rPr>
          <w:lang w:val="en-GB"/>
        </w:rPr>
      </w:pPr>
    </w:p>
    <w:tbl>
      <w:tblPr>
        <w:tblStyle w:val="Tabellenraster"/>
        <w:tblW w:w="0" w:type="auto"/>
        <w:tblInd w:w="79" w:type="dxa"/>
        <w:tblLook w:val="04A0" w:firstRow="1" w:lastRow="0" w:firstColumn="1" w:lastColumn="0" w:noHBand="0" w:noVBand="1"/>
      </w:tblPr>
      <w:tblGrid>
        <w:gridCol w:w="495"/>
        <w:gridCol w:w="7869"/>
      </w:tblGrid>
      <w:tr w:rsidR="001C4079" w:rsidRPr="00044E23" w:rsidTr="001C4079">
        <w:tc>
          <w:tcPr>
            <w:tcW w:w="495" w:type="dxa"/>
            <w:shd w:val="clear" w:color="auto" w:fill="B8CCE4" w:themeFill="accent1" w:themeFillTint="66"/>
          </w:tcPr>
          <w:p w:rsidR="001C4079" w:rsidRPr="00044E23" w:rsidRDefault="001C4079"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1C4079" w:rsidRPr="00044E23" w:rsidRDefault="001C4079" w:rsidP="00F20BCF">
            <w:pPr>
              <w:rPr>
                <w:sz w:val="16"/>
                <w:szCs w:val="16"/>
                <w:lang w:val="en-GB"/>
              </w:rPr>
            </w:pPr>
            <w:r w:rsidRPr="00044E23">
              <w:rPr>
                <w:sz w:val="16"/>
                <w:szCs w:val="16"/>
                <w:lang w:val="en-GB"/>
              </w:rPr>
              <w:t>Obligation under EDPR</w:t>
            </w:r>
          </w:p>
        </w:tc>
      </w:tr>
      <w:tr w:rsidR="001C4079" w:rsidRPr="00044E23" w:rsidTr="001C4079">
        <w:tc>
          <w:tcPr>
            <w:tcW w:w="495" w:type="dxa"/>
            <w:tcBorders>
              <w:bottom w:val="single" w:sz="4" w:space="0" w:color="auto"/>
            </w:tcBorders>
          </w:tcPr>
          <w:p w:rsidR="001C4079" w:rsidRPr="00044E23" w:rsidRDefault="001C4079" w:rsidP="00F20BCF">
            <w:pPr>
              <w:rPr>
                <w:sz w:val="16"/>
                <w:szCs w:val="16"/>
                <w:lang w:val="en-GB"/>
              </w:rPr>
            </w:pPr>
            <w:r w:rsidRPr="00044E23">
              <w:rPr>
                <w:sz w:val="16"/>
                <w:szCs w:val="16"/>
                <w:lang w:val="en-GB"/>
              </w:rPr>
              <w:t>32</w:t>
            </w:r>
          </w:p>
        </w:tc>
        <w:tc>
          <w:tcPr>
            <w:tcW w:w="7869" w:type="dxa"/>
            <w:tcBorders>
              <w:bottom w:val="single" w:sz="4" w:space="0" w:color="auto"/>
            </w:tcBorders>
          </w:tcPr>
          <w:p w:rsidR="001C4079" w:rsidRPr="00044E23" w:rsidRDefault="001C4079" w:rsidP="00F20BCF">
            <w:pPr>
              <w:rPr>
                <w:sz w:val="16"/>
                <w:szCs w:val="16"/>
                <w:lang w:val="en-GB"/>
              </w:rPr>
            </w:pPr>
            <w:r w:rsidRPr="00044E23">
              <w:rPr>
                <w:sz w:val="16"/>
                <w:szCs w:val="16"/>
                <w:lang w:val="en-GB"/>
              </w:rPr>
              <w:t>Demonstrate that compromised personal data has been rendered unintelligible.</w:t>
            </w:r>
          </w:p>
        </w:tc>
      </w:tr>
      <w:tr w:rsidR="001C4079" w:rsidRPr="00044E23" w:rsidTr="001C4079">
        <w:tc>
          <w:tcPr>
            <w:tcW w:w="8364" w:type="dxa"/>
            <w:gridSpan w:val="2"/>
            <w:tcBorders>
              <w:top w:val="single" w:sz="4" w:space="0" w:color="auto"/>
              <w:bottom w:val="single" w:sz="4" w:space="0" w:color="auto"/>
            </w:tcBorders>
            <w:shd w:val="clear" w:color="auto" w:fill="DEE7F2"/>
          </w:tcPr>
          <w:p w:rsidR="001C4079" w:rsidRPr="00044E23" w:rsidRDefault="00C55F49" w:rsidP="00142D18">
            <w:pPr>
              <w:rPr>
                <w:i/>
                <w:sz w:val="16"/>
                <w:szCs w:val="16"/>
                <w:lang w:val="en-GB"/>
              </w:rPr>
            </w:pPr>
            <w:r w:rsidRPr="00044E23">
              <w:rPr>
                <w:i/>
                <w:sz w:val="16"/>
                <w:szCs w:val="16"/>
                <w:lang w:val="en-GB"/>
              </w:rPr>
              <w:t>It is not necessary to report a breach to the data subject if the data controller can demonstrate that protective measures have been taken to the satisfaction of the supervisory authority, and that these measures were applied to the compromised data. These protective measures must ensure that the data is rendered unintelligible for anyone not entitled to access it. A business can demonstrate this to the supervisory authority by registering the data as encrypted or unintelligible. The costs arising from this obligation could not be separately quantified. During the study it was found that businesses are not yet able to estimate the quantitative impact of this future obligation.</w:t>
            </w:r>
          </w:p>
        </w:tc>
      </w:tr>
    </w:tbl>
    <w:p w:rsidR="001C4079" w:rsidRPr="00044E23" w:rsidRDefault="001C4079" w:rsidP="001C4079">
      <w:pPr>
        <w:rPr>
          <w:lang w:val="en-GB"/>
        </w:rPr>
      </w:pPr>
    </w:p>
    <w:tbl>
      <w:tblPr>
        <w:tblStyle w:val="Tabellenraster"/>
        <w:tblW w:w="8364" w:type="dxa"/>
        <w:tblInd w:w="108" w:type="dxa"/>
        <w:tblLook w:val="04A0" w:firstRow="1" w:lastRow="0" w:firstColumn="1" w:lastColumn="0" w:noHBand="0" w:noVBand="1"/>
      </w:tblPr>
      <w:tblGrid>
        <w:gridCol w:w="495"/>
        <w:gridCol w:w="7869"/>
      </w:tblGrid>
      <w:tr w:rsidR="001C4079" w:rsidRPr="00044E23" w:rsidTr="001C4079">
        <w:tc>
          <w:tcPr>
            <w:tcW w:w="495" w:type="dxa"/>
            <w:shd w:val="clear" w:color="auto" w:fill="B8CCE4" w:themeFill="accent1" w:themeFillTint="66"/>
          </w:tcPr>
          <w:p w:rsidR="001C4079" w:rsidRPr="00044E23" w:rsidRDefault="001C4079"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1C4079" w:rsidRPr="00044E23" w:rsidRDefault="001C4079" w:rsidP="00F20BCF">
            <w:pPr>
              <w:rPr>
                <w:sz w:val="16"/>
                <w:szCs w:val="16"/>
                <w:lang w:val="en-GB"/>
              </w:rPr>
            </w:pPr>
            <w:r w:rsidRPr="00044E23">
              <w:rPr>
                <w:sz w:val="16"/>
                <w:szCs w:val="16"/>
                <w:lang w:val="en-GB"/>
              </w:rPr>
              <w:t>Obligation under EDPR</w:t>
            </w:r>
          </w:p>
        </w:tc>
      </w:tr>
      <w:tr w:rsidR="001C4079" w:rsidRPr="00044E23" w:rsidTr="00F649AA">
        <w:tc>
          <w:tcPr>
            <w:tcW w:w="495" w:type="dxa"/>
          </w:tcPr>
          <w:p w:rsidR="001C4079" w:rsidRPr="00044E23" w:rsidRDefault="001C4079" w:rsidP="00F20BCF">
            <w:pPr>
              <w:rPr>
                <w:sz w:val="16"/>
                <w:szCs w:val="16"/>
                <w:lang w:val="en-GB"/>
              </w:rPr>
            </w:pPr>
            <w:r w:rsidRPr="00044E23">
              <w:rPr>
                <w:sz w:val="16"/>
                <w:szCs w:val="16"/>
                <w:lang w:val="en-GB"/>
              </w:rPr>
              <w:t>34</w:t>
            </w:r>
          </w:p>
        </w:tc>
        <w:tc>
          <w:tcPr>
            <w:tcW w:w="7869" w:type="dxa"/>
          </w:tcPr>
          <w:p w:rsidR="001C4079" w:rsidRPr="00044E23" w:rsidRDefault="001C4079" w:rsidP="00F20BCF">
            <w:pPr>
              <w:rPr>
                <w:sz w:val="16"/>
                <w:szCs w:val="16"/>
                <w:lang w:val="en-GB"/>
              </w:rPr>
            </w:pPr>
            <w:r w:rsidRPr="00044E23">
              <w:rPr>
                <w:sz w:val="16"/>
                <w:szCs w:val="16"/>
                <w:lang w:val="en-GB"/>
              </w:rPr>
              <w:t>Provision of a data protection impact assessment to the supervisory authority</w:t>
            </w:r>
          </w:p>
        </w:tc>
      </w:tr>
      <w:tr w:rsidR="00F649AA" w:rsidRPr="00044E23" w:rsidTr="00E16809">
        <w:tc>
          <w:tcPr>
            <w:tcW w:w="8364" w:type="dxa"/>
            <w:gridSpan w:val="2"/>
            <w:tcBorders>
              <w:top w:val="single" w:sz="4" w:space="0" w:color="auto"/>
              <w:bottom w:val="single" w:sz="4" w:space="0" w:color="auto"/>
            </w:tcBorders>
            <w:shd w:val="clear" w:color="auto" w:fill="DEE7F2"/>
          </w:tcPr>
          <w:p w:rsidR="00F649AA" w:rsidRPr="00044E23" w:rsidRDefault="00F649AA" w:rsidP="00F649AA">
            <w:pPr>
              <w:rPr>
                <w:i/>
                <w:sz w:val="16"/>
                <w:szCs w:val="16"/>
                <w:lang w:val="en-GB"/>
              </w:rPr>
            </w:pPr>
            <w:r w:rsidRPr="00044E23">
              <w:rPr>
                <w:i/>
                <w:sz w:val="16"/>
                <w:szCs w:val="16"/>
                <w:lang w:val="en-GB"/>
              </w:rPr>
              <w:t>The costs arising from this obligation are included with Article 33 of the EDPR.</w:t>
            </w:r>
          </w:p>
        </w:tc>
      </w:tr>
    </w:tbl>
    <w:p w:rsidR="00F43AD2" w:rsidRPr="00044E23" w:rsidRDefault="00F43AD2" w:rsidP="00033B19">
      <w:pPr>
        <w:pStyle w:val="berschrift4"/>
        <w:rPr>
          <w:lang w:val="en-GB"/>
        </w:rPr>
      </w:pPr>
      <w:r w:rsidRPr="00044E23">
        <w:rPr>
          <w:lang w:val="en-GB"/>
        </w:rPr>
        <w:t>Other obligations that give rise to CC</w:t>
      </w:r>
    </w:p>
    <w:p w:rsidR="00C34381" w:rsidRPr="00044E23" w:rsidRDefault="00C34381" w:rsidP="00C34381">
      <w:pPr>
        <w:rPr>
          <w:lang w:val="en-GB"/>
        </w:rPr>
      </w:pPr>
    </w:p>
    <w:tbl>
      <w:tblPr>
        <w:tblStyle w:val="Tabellenraster"/>
        <w:tblW w:w="8364" w:type="dxa"/>
        <w:tblInd w:w="108" w:type="dxa"/>
        <w:tblLook w:val="04A0" w:firstRow="1" w:lastRow="0" w:firstColumn="1" w:lastColumn="0" w:noHBand="0" w:noVBand="1"/>
      </w:tblPr>
      <w:tblGrid>
        <w:gridCol w:w="495"/>
        <w:gridCol w:w="7869"/>
      </w:tblGrid>
      <w:tr w:rsidR="00B21003" w:rsidRPr="00044E23" w:rsidTr="00000F66">
        <w:tc>
          <w:tcPr>
            <w:tcW w:w="495"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Obligation under EDPR</w:t>
            </w:r>
          </w:p>
        </w:tc>
      </w:tr>
      <w:tr w:rsidR="00B21003" w:rsidRPr="00044E23" w:rsidTr="007F5CDD">
        <w:tc>
          <w:tcPr>
            <w:tcW w:w="495" w:type="dxa"/>
          </w:tcPr>
          <w:p w:rsidR="00B21003" w:rsidRPr="00044E23" w:rsidRDefault="00B21003" w:rsidP="00F20BCF">
            <w:pPr>
              <w:rPr>
                <w:sz w:val="16"/>
                <w:szCs w:val="16"/>
                <w:lang w:val="en-GB"/>
              </w:rPr>
            </w:pPr>
            <w:r w:rsidRPr="00044E23">
              <w:rPr>
                <w:sz w:val="16"/>
                <w:szCs w:val="16"/>
                <w:lang w:val="en-GB"/>
              </w:rPr>
              <w:t>12</w:t>
            </w:r>
          </w:p>
        </w:tc>
        <w:tc>
          <w:tcPr>
            <w:tcW w:w="7869" w:type="dxa"/>
          </w:tcPr>
          <w:p w:rsidR="00B21003" w:rsidRPr="00044E23" w:rsidRDefault="00B21003" w:rsidP="00F20BCF">
            <w:pPr>
              <w:rPr>
                <w:sz w:val="16"/>
                <w:szCs w:val="16"/>
                <w:lang w:val="en-GB"/>
              </w:rPr>
            </w:pPr>
            <w:r w:rsidRPr="00044E23">
              <w:rPr>
                <w:sz w:val="16"/>
                <w:szCs w:val="16"/>
                <w:lang w:val="en-GB"/>
              </w:rPr>
              <w:t>Establish procedures for provision of information and provision of means to submit requests electronically.</w:t>
            </w:r>
          </w:p>
        </w:tc>
      </w:tr>
      <w:tr w:rsidR="007F5CDD" w:rsidRPr="00044E23" w:rsidTr="00E16809">
        <w:tc>
          <w:tcPr>
            <w:tcW w:w="8364" w:type="dxa"/>
            <w:gridSpan w:val="2"/>
            <w:tcBorders>
              <w:top w:val="single" w:sz="4" w:space="0" w:color="auto"/>
              <w:bottom w:val="single" w:sz="4" w:space="0" w:color="auto"/>
            </w:tcBorders>
            <w:shd w:val="clear" w:color="auto" w:fill="DEE7F2"/>
          </w:tcPr>
          <w:p w:rsidR="007F5CDD" w:rsidRPr="00044E23" w:rsidRDefault="007F5CDD" w:rsidP="00142D18">
            <w:pPr>
              <w:rPr>
                <w:i/>
                <w:sz w:val="16"/>
                <w:szCs w:val="16"/>
                <w:lang w:val="en-GB"/>
              </w:rPr>
            </w:pPr>
            <w:r w:rsidRPr="00044E23">
              <w:rPr>
                <w:i/>
                <w:sz w:val="16"/>
                <w:szCs w:val="16"/>
                <w:lang w:val="en-GB"/>
              </w:rPr>
              <w:t>The costs arising from this obligation could not be separately quantified. During the study it was found that businesses are not yet able to estimate the quantitative impact of this future obligation.</w:t>
            </w:r>
          </w:p>
        </w:tc>
      </w:tr>
    </w:tbl>
    <w:p w:rsidR="00B21003" w:rsidRPr="00044E23" w:rsidRDefault="00B21003" w:rsidP="00B21003">
      <w:pPr>
        <w:rPr>
          <w:lang w:val="en-GB"/>
        </w:rPr>
      </w:pPr>
    </w:p>
    <w:p w:rsidR="00B741B3" w:rsidRPr="00044E23" w:rsidRDefault="00B741B3">
      <w:pPr>
        <w:rPr>
          <w:lang w:val="en-GB"/>
        </w:rPr>
      </w:pPr>
      <w:r w:rsidRPr="00044E23">
        <w:rPr>
          <w:lang w:val="en-GB"/>
        </w:rPr>
        <w:br w:type="page"/>
      </w:r>
    </w:p>
    <w:tbl>
      <w:tblPr>
        <w:tblStyle w:val="Tabellenraster"/>
        <w:tblW w:w="8364" w:type="dxa"/>
        <w:tblInd w:w="108" w:type="dxa"/>
        <w:tblLook w:val="04A0" w:firstRow="1" w:lastRow="0" w:firstColumn="1" w:lastColumn="0" w:noHBand="0" w:noVBand="1"/>
      </w:tblPr>
      <w:tblGrid>
        <w:gridCol w:w="495"/>
        <w:gridCol w:w="7869"/>
      </w:tblGrid>
      <w:tr w:rsidR="00B21003" w:rsidRPr="00044E23" w:rsidTr="00000F66">
        <w:tc>
          <w:tcPr>
            <w:tcW w:w="495"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Obligation under EDPR</w:t>
            </w:r>
          </w:p>
        </w:tc>
      </w:tr>
      <w:tr w:rsidR="00B21003" w:rsidRPr="00044E23" w:rsidTr="00A90AA3">
        <w:tc>
          <w:tcPr>
            <w:tcW w:w="495" w:type="dxa"/>
          </w:tcPr>
          <w:p w:rsidR="00B21003" w:rsidRPr="00044E23" w:rsidRDefault="00B21003" w:rsidP="00F20BCF">
            <w:pPr>
              <w:rPr>
                <w:sz w:val="16"/>
                <w:szCs w:val="16"/>
                <w:lang w:val="en-GB"/>
              </w:rPr>
            </w:pPr>
            <w:r w:rsidRPr="00044E23">
              <w:rPr>
                <w:sz w:val="16"/>
                <w:szCs w:val="16"/>
                <w:lang w:val="en-GB"/>
              </w:rPr>
              <w:t>17</w:t>
            </w:r>
          </w:p>
        </w:tc>
        <w:tc>
          <w:tcPr>
            <w:tcW w:w="7869" w:type="dxa"/>
          </w:tcPr>
          <w:p w:rsidR="00B21003" w:rsidRPr="00044E23" w:rsidRDefault="00B21003" w:rsidP="00F20BCF">
            <w:pPr>
              <w:rPr>
                <w:sz w:val="16"/>
                <w:szCs w:val="16"/>
                <w:lang w:val="en-GB"/>
              </w:rPr>
            </w:pPr>
            <w:r w:rsidRPr="00044E23">
              <w:rPr>
                <w:sz w:val="16"/>
                <w:szCs w:val="16"/>
                <w:lang w:val="en-GB"/>
              </w:rPr>
              <w:t>Informing the data subject of the ending of restricted data processing</w:t>
            </w:r>
          </w:p>
        </w:tc>
      </w:tr>
      <w:tr w:rsidR="00A90AA3" w:rsidRPr="00044E23" w:rsidTr="00E16809">
        <w:tc>
          <w:tcPr>
            <w:tcW w:w="8364" w:type="dxa"/>
            <w:gridSpan w:val="2"/>
            <w:tcBorders>
              <w:top w:val="single" w:sz="4" w:space="0" w:color="auto"/>
              <w:bottom w:val="single" w:sz="4" w:space="0" w:color="auto"/>
            </w:tcBorders>
            <w:shd w:val="clear" w:color="auto" w:fill="DEE7F2"/>
          </w:tcPr>
          <w:p w:rsidR="00A90AA3" w:rsidRPr="00044E23" w:rsidRDefault="00A90AA3" w:rsidP="00F3353C">
            <w:pPr>
              <w:rPr>
                <w:i/>
                <w:sz w:val="16"/>
                <w:szCs w:val="16"/>
                <w:lang w:val="en-GB"/>
              </w:rPr>
            </w:pPr>
            <w:r w:rsidRPr="00044E23">
              <w:rPr>
                <w:i/>
                <w:sz w:val="16"/>
                <w:szCs w:val="16"/>
                <w:lang w:val="en-GB"/>
              </w:rPr>
              <w:t>The costs arising from this obligation could not be separately quantified. During the study it was found that businesses are not yet able to estimate the quantitative impact of this future obligation.</w:t>
            </w:r>
          </w:p>
        </w:tc>
      </w:tr>
    </w:tbl>
    <w:p w:rsidR="00B21003" w:rsidRPr="00044E23" w:rsidRDefault="00B21003" w:rsidP="00B21003">
      <w:pPr>
        <w:rPr>
          <w:lang w:val="en-GB"/>
        </w:rPr>
      </w:pPr>
    </w:p>
    <w:tbl>
      <w:tblPr>
        <w:tblStyle w:val="Tabellenraster"/>
        <w:tblW w:w="8364" w:type="dxa"/>
        <w:tblInd w:w="108" w:type="dxa"/>
        <w:tblLook w:val="04A0" w:firstRow="1" w:lastRow="0" w:firstColumn="1" w:lastColumn="0" w:noHBand="0" w:noVBand="1"/>
      </w:tblPr>
      <w:tblGrid>
        <w:gridCol w:w="495"/>
        <w:gridCol w:w="7869"/>
      </w:tblGrid>
      <w:tr w:rsidR="00B21003" w:rsidRPr="00044E23" w:rsidTr="00000F66">
        <w:tc>
          <w:tcPr>
            <w:tcW w:w="495"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Obligation under EDPR</w:t>
            </w:r>
          </w:p>
        </w:tc>
      </w:tr>
      <w:tr w:rsidR="00B21003" w:rsidRPr="00044E23" w:rsidTr="00A90AA3">
        <w:tc>
          <w:tcPr>
            <w:tcW w:w="495" w:type="dxa"/>
          </w:tcPr>
          <w:p w:rsidR="00B21003" w:rsidRPr="00044E23" w:rsidRDefault="00B21003" w:rsidP="00F20BCF">
            <w:pPr>
              <w:rPr>
                <w:sz w:val="16"/>
                <w:szCs w:val="16"/>
                <w:lang w:val="en-GB"/>
              </w:rPr>
            </w:pPr>
            <w:r w:rsidRPr="00044E23">
              <w:rPr>
                <w:sz w:val="16"/>
                <w:szCs w:val="16"/>
                <w:lang w:val="en-GB"/>
              </w:rPr>
              <w:t>17</w:t>
            </w:r>
          </w:p>
        </w:tc>
        <w:tc>
          <w:tcPr>
            <w:tcW w:w="7869" w:type="dxa"/>
          </w:tcPr>
          <w:p w:rsidR="00B21003" w:rsidRPr="00044E23" w:rsidRDefault="00B21003" w:rsidP="00F20BCF">
            <w:pPr>
              <w:rPr>
                <w:sz w:val="16"/>
                <w:szCs w:val="16"/>
                <w:lang w:val="en-GB"/>
              </w:rPr>
            </w:pPr>
            <w:r w:rsidRPr="00044E23">
              <w:rPr>
                <w:sz w:val="16"/>
                <w:szCs w:val="16"/>
                <w:lang w:val="en-GB"/>
              </w:rPr>
              <w:t>Establish mechanisms to ensure that the periods established for erasure of personal data or for periodic review of the need to store are observed.</w:t>
            </w:r>
          </w:p>
        </w:tc>
      </w:tr>
      <w:tr w:rsidR="00A90AA3" w:rsidRPr="00044E23" w:rsidTr="00E16809">
        <w:tc>
          <w:tcPr>
            <w:tcW w:w="8364" w:type="dxa"/>
            <w:gridSpan w:val="2"/>
            <w:tcBorders>
              <w:top w:val="single" w:sz="4" w:space="0" w:color="auto"/>
              <w:bottom w:val="single" w:sz="4" w:space="0" w:color="auto"/>
            </w:tcBorders>
            <w:shd w:val="clear" w:color="auto" w:fill="DEE7F2"/>
          </w:tcPr>
          <w:p w:rsidR="00A90AA3" w:rsidRPr="00044E23" w:rsidRDefault="00A90AA3" w:rsidP="00584104">
            <w:pPr>
              <w:rPr>
                <w:i/>
                <w:sz w:val="16"/>
                <w:szCs w:val="16"/>
                <w:lang w:val="en-GB"/>
              </w:rPr>
            </w:pPr>
            <w:r w:rsidRPr="00044E23">
              <w:rPr>
                <w:i/>
                <w:sz w:val="16"/>
                <w:szCs w:val="16"/>
                <w:lang w:val="en-GB"/>
              </w:rPr>
              <w:t>The costs arising from this obligation could not be separately quantified. During the study it was found that businesses are not yet able to estimate the quantitative impact of this future obligation.</w:t>
            </w:r>
          </w:p>
        </w:tc>
      </w:tr>
    </w:tbl>
    <w:p w:rsidR="00B21003" w:rsidRPr="00044E23" w:rsidRDefault="00B21003" w:rsidP="00B21003">
      <w:pPr>
        <w:rPr>
          <w:lang w:val="en-GB"/>
        </w:rPr>
      </w:pPr>
    </w:p>
    <w:tbl>
      <w:tblPr>
        <w:tblStyle w:val="Tabellenraster"/>
        <w:tblW w:w="8364" w:type="dxa"/>
        <w:tblInd w:w="108" w:type="dxa"/>
        <w:tblLook w:val="04A0" w:firstRow="1" w:lastRow="0" w:firstColumn="1" w:lastColumn="0" w:noHBand="0" w:noVBand="1"/>
      </w:tblPr>
      <w:tblGrid>
        <w:gridCol w:w="495"/>
        <w:gridCol w:w="7869"/>
      </w:tblGrid>
      <w:tr w:rsidR="00B21003" w:rsidRPr="00044E23" w:rsidTr="00000F66">
        <w:tc>
          <w:tcPr>
            <w:tcW w:w="495"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Obligation under EDPR</w:t>
            </w:r>
          </w:p>
        </w:tc>
      </w:tr>
      <w:tr w:rsidR="00B21003" w:rsidRPr="00044E23" w:rsidTr="00000F66">
        <w:tc>
          <w:tcPr>
            <w:tcW w:w="495" w:type="dxa"/>
            <w:tcBorders>
              <w:bottom w:val="single" w:sz="4" w:space="0" w:color="auto"/>
            </w:tcBorders>
          </w:tcPr>
          <w:p w:rsidR="00B21003" w:rsidRPr="00044E23" w:rsidRDefault="00B21003" w:rsidP="00F20BCF">
            <w:pPr>
              <w:rPr>
                <w:sz w:val="16"/>
                <w:szCs w:val="16"/>
                <w:lang w:val="en-GB"/>
              </w:rPr>
            </w:pPr>
            <w:r w:rsidRPr="00044E23">
              <w:rPr>
                <w:sz w:val="16"/>
                <w:szCs w:val="16"/>
                <w:lang w:val="en-GB"/>
              </w:rPr>
              <w:t>18</w:t>
            </w:r>
          </w:p>
        </w:tc>
        <w:tc>
          <w:tcPr>
            <w:tcW w:w="7869" w:type="dxa"/>
            <w:tcBorders>
              <w:bottom w:val="single" w:sz="4" w:space="0" w:color="auto"/>
            </w:tcBorders>
          </w:tcPr>
          <w:p w:rsidR="00B21003" w:rsidRPr="00044E23" w:rsidRDefault="00B21003" w:rsidP="00F20BCF">
            <w:pPr>
              <w:rPr>
                <w:sz w:val="16"/>
                <w:szCs w:val="16"/>
                <w:lang w:val="en-GB"/>
              </w:rPr>
            </w:pPr>
            <w:r w:rsidRPr="00044E23">
              <w:rPr>
                <w:sz w:val="16"/>
                <w:szCs w:val="16"/>
                <w:lang w:val="en-GB"/>
              </w:rPr>
              <w:t>Provision of copy of data processed and in an electronic and structured format</w:t>
            </w:r>
          </w:p>
        </w:tc>
      </w:tr>
      <w:tr w:rsidR="00B21003" w:rsidRPr="00044E23" w:rsidTr="00000F66">
        <w:tc>
          <w:tcPr>
            <w:tcW w:w="8364" w:type="dxa"/>
            <w:gridSpan w:val="2"/>
            <w:tcBorders>
              <w:top w:val="single" w:sz="4" w:space="0" w:color="auto"/>
              <w:bottom w:val="single" w:sz="4" w:space="0" w:color="auto"/>
            </w:tcBorders>
            <w:shd w:val="clear" w:color="auto" w:fill="DEE7F2"/>
          </w:tcPr>
          <w:p w:rsidR="006067F7" w:rsidRPr="00044E23" w:rsidRDefault="006067F7" w:rsidP="00847FFC">
            <w:pPr>
              <w:rPr>
                <w:i/>
                <w:sz w:val="16"/>
                <w:szCs w:val="16"/>
                <w:lang w:val="en-GB"/>
              </w:rPr>
            </w:pPr>
            <w:r w:rsidRPr="00044E23">
              <w:rPr>
                <w:i/>
                <w:sz w:val="16"/>
                <w:szCs w:val="16"/>
                <w:lang w:val="en-GB"/>
              </w:rPr>
              <w:t>This obligation assumes that businesses will invest in developing systems so that data subjects can transfer their data in a commonly used electronic format to another automated processing system. The key part of the obligation is contained in paragraph 2. The obligation embodies an implicit right of acceptance for a business responsible for the automated processing system to which the data is transferred.</w:t>
            </w:r>
          </w:p>
          <w:p w:rsidR="00B21003" w:rsidRPr="00044E23" w:rsidRDefault="00847FFC" w:rsidP="00847FFC">
            <w:pPr>
              <w:rPr>
                <w:i/>
                <w:sz w:val="16"/>
                <w:szCs w:val="16"/>
                <w:lang w:val="en-GB"/>
              </w:rPr>
            </w:pPr>
            <w:r w:rsidRPr="00044E23">
              <w:rPr>
                <w:i/>
                <w:sz w:val="16"/>
                <w:szCs w:val="16"/>
                <w:lang w:val="en-GB"/>
              </w:rPr>
              <w:t>The assumption for the calculation is that this obligation will in practical application not apply to all businesses. Although the text of the proposed Regulation seems to assume that the obligation will apply to all businesses, the calculation makes an estimate of the businesses that are expected to be faced with the obligation. It is assumed that only businesses of a certain size in the sectors of energy, telecoms, information services, financial services and major retailers will be affected.</w:t>
            </w:r>
          </w:p>
          <w:p w:rsidR="00DF7931" w:rsidRPr="00044E23" w:rsidRDefault="00DF7931" w:rsidP="00BB7E04">
            <w:pPr>
              <w:rPr>
                <w:i/>
                <w:sz w:val="16"/>
                <w:szCs w:val="16"/>
                <w:lang w:val="en-GB"/>
              </w:rPr>
            </w:pPr>
            <w:r w:rsidRPr="00044E23">
              <w:rPr>
                <w:i/>
                <w:sz w:val="16"/>
                <w:szCs w:val="16"/>
                <w:lang w:val="en-GB"/>
              </w:rPr>
              <w:t>It is also assumed that the number of businesses per sector will be similar to the situation in the United Kingdom, and the calculation therefore makes the assumption that the number of businesses within the stated sectors will be the same as the total number of businesses assumed in the study conducted in the United Kingdom.</w:t>
            </w:r>
          </w:p>
          <w:p w:rsidR="00155171" w:rsidRPr="00044E23" w:rsidRDefault="00155171" w:rsidP="0085280C">
            <w:pPr>
              <w:rPr>
                <w:rFonts w:cs="Arial"/>
                <w:i/>
                <w:sz w:val="16"/>
                <w:szCs w:val="16"/>
                <w:lang w:val="en-GB"/>
              </w:rPr>
            </w:pPr>
            <w:r w:rsidRPr="00044E23">
              <w:rPr>
                <w:i/>
                <w:sz w:val="16"/>
                <w:szCs w:val="16"/>
                <w:lang w:val="en-GB"/>
              </w:rPr>
              <w:t>Furthermore, the calculation assumes that the cost for complying with this obligation will be at least €125,000 per business.</w:t>
            </w:r>
            <w:r w:rsidR="00F57CB9" w:rsidRPr="00044E23">
              <w:rPr>
                <w:rStyle w:val="Funotenzeichen"/>
                <w:rFonts w:cs="Arial"/>
                <w:i/>
                <w:sz w:val="16"/>
                <w:szCs w:val="16"/>
                <w:lang w:val="en-GB"/>
              </w:rPr>
              <w:footnoteReference w:id="10"/>
            </w:r>
            <w:r w:rsidRPr="00044E23">
              <w:rPr>
                <w:rFonts w:cs="Arial"/>
                <w:i/>
                <w:sz w:val="16"/>
                <w:szCs w:val="16"/>
                <w:lang w:val="en-GB"/>
              </w:rPr>
              <w:t xml:space="preserve"> Respondents indicated that they thought this was a conservative estimate.</w:t>
            </w:r>
          </w:p>
        </w:tc>
      </w:tr>
    </w:tbl>
    <w:p w:rsidR="00B21003" w:rsidRPr="00044E23" w:rsidRDefault="00B21003" w:rsidP="00B21003">
      <w:pPr>
        <w:rPr>
          <w:lang w:val="en-GB"/>
        </w:rPr>
      </w:pPr>
    </w:p>
    <w:tbl>
      <w:tblPr>
        <w:tblStyle w:val="Tabellenraster"/>
        <w:tblW w:w="8364" w:type="dxa"/>
        <w:tblInd w:w="108" w:type="dxa"/>
        <w:tblLook w:val="04A0" w:firstRow="1" w:lastRow="0" w:firstColumn="1" w:lastColumn="0" w:noHBand="0" w:noVBand="1"/>
      </w:tblPr>
      <w:tblGrid>
        <w:gridCol w:w="495"/>
        <w:gridCol w:w="7869"/>
      </w:tblGrid>
      <w:tr w:rsidR="00B21003" w:rsidRPr="00044E23" w:rsidTr="00000F66">
        <w:tc>
          <w:tcPr>
            <w:tcW w:w="495"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Obligation under EDPR</w:t>
            </w:r>
          </w:p>
        </w:tc>
      </w:tr>
      <w:tr w:rsidR="00B21003" w:rsidRPr="00044E23" w:rsidTr="009A243C">
        <w:tc>
          <w:tcPr>
            <w:tcW w:w="495" w:type="dxa"/>
          </w:tcPr>
          <w:p w:rsidR="00B21003" w:rsidRPr="00044E23" w:rsidRDefault="00B21003" w:rsidP="00F20BCF">
            <w:pPr>
              <w:rPr>
                <w:sz w:val="16"/>
                <w:szCs w:val="16"/>
                <w:lang w:val="en-GB"/>
              </w:rPr>
            </w:pPr>
            <w:r w:rsidRPr="00044E23">
              <w:rPr>
                <w:sz w:val="16"/>
                <w:szCs w:val="16"/>
                <w:lang w:val="en-GB"/>
              </w:rPr>
              <w:t>22</w:t>
            </w:r>
          </w:p>
        </w:tc>
        <w:tc>
          <w:tcPr>
            <w:tcW w:w="7869" w:type="dxa"/>
          </w:tcPr>
          <w:p w:rsidR="00B21003" w:rsidRPr="00044E23" w:rsidRDefault="00B21003" w:rsidP="00F20BCF">
            <w:pPr>
              <w:rPr>
                <w:sz w:val="16"/>
                <w:szCs w:val="16"/>
                <w:lang w:val="en-GB"/>
              </w:rPr>
            </w:pPr>
            <w:r w:rsidRPr="00044E23">
              <w:rPr>
                <w:sz w:val="16"/>
                <w:szCs w:val="16"/>
                <w:lang w:val="en-GB"/>
              </w:rPr>
              <w:t>Establish policies to ensure and to demonstrate that personal data is processed in compliance with the Regulation.</w:t>
            </w:r>
          </w:p>
        </w:tc>
      </w:tr>
      <w:tr w:rsidR="009A243C" w:rsidRPr="00044E23" w:rsidTr="00E16809">
        <w:tc>
          <w:tcPr>
            <w:tcW w:w="8364" w:type="dxa"/>
            <w:gridSpan w:val="2"/>
            <w:tcBorders>
              <w:top w:val="single" w:sz="4" w:space="0" w:color="auto"/>
              <w:bottom w:val="single" w:sz="4" w:space="0" w:color="auto"/>
            </w:tcBorders>
            <w:shd w:val="clear" w:color="auto" w:fill="DEE7F2"/>
          </w:tcPr>
          <w:p w:rsidR="00B745D2" w:rsidRPr="00044E23" w:rsidRDefault="00B745D2" w:rsidP="00E16809">
            <w:pPr>
              <w:rPr>
                <w:i/>
                <w:sz w:val="16"/>
                <w:szCs w:val="16"/>
                <w:lang w:val="en-GB"/>
              </w:rPr>
            </w:pPr>
            <w:r w:rsidRPr="00044E23">
              <w:rPr>
                <w:i/>
                <w:sz w:val="16"/>
                <w:szCs w:val="16"/>
                <w:lang w:val="en-GB"/>
              </w:rPr>
              <w:t>Establishing policies goes hand in hand with organisational changes, internal coordination and in some cases transition costs. Policies are drafted per system. Complying with this obligation may therefore require a major time investment. However, the costs arising from this obligation could not be quantified. During the study it was found that businesses are not yet able to estimate the quantitative impact of this future obligation.</w:t>
            </w:r>
          </w:p>
          <w:p w:rsidR="009A243C" w:rsidRPr="00044E23" w:rsidRDefault="00B745D2" w:rsidP="00E03828">
            <w:pPr>
              <w:rPr>
                <w:i/>
                <w:sz w:val="16"/>
                <w:szCs w:val="16"/>
                <w:lang w:val="en-GB"/>
              </w:rPr>
            </w:pPr>
            <w:r w:rsidRPr="00044E23">
              <w:rPr>
                <w:i/>
                <w:sz w:val="16"/>
                <w:szCs w:val="16"/>
                <w:lang w:val="en-GB"/>
              </w:rPr>
              <w:t>Furthermore, in the current situation this time is already spent by businesses to ensure compliance with Articles 33 and 34 of the DDPA, which obliges businesses to make a similar effort.</w:t>
            </w:r>
          </w:p>
        </w:tc>
      </w:tr>
    </w:tbl>
    <w:p w:rsidR="00B21003" w:rsidRPr="00044E23" w:rsidRDefault="00B21003" w:rsidP="00B21003">
      <w:pPr>
        <w:rPr>
          <w:lang w:val="en-GB"/>
        </w:rPr>
      </w:pPr>
    </w:p>
    <w:tbl>
      <w:tblPr>
        <w:tblStyle w:val="Tabellenraster"/>
        <w:tblW w:w="8364" w:type="dxa"/>
        <w:tblInd w:w="108" w:type="dxa"/>
        <w:tblLook w:val="04A0" w:firstRow="1" w:lastRow="0" w:firstColumn="1" w:lastColumn="0" w:noHBand="0" w:noVBand="1"/>
      </w:tblPr>
      <w:tblGrid>
        <w:gridCol w:w="495"/>
        <w:gridCol w:w="7869"/>
      </w:tblGrid>
      <w:tr w:rsidR="00B21003" w:rsidRPr="00044E23" w:rsidTr="00000F66">
        <w:tc>
          <w:tcPr>
            <w:tcW w:w="495"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Obligation under EDPR</w:t>
            </w:r>
          </w:p>
        </w:tc>
      </w:tr>
      <w:tr w:rsidR="00B21003" w:rsidRPr="00044E23" w:rsidTr="00194271">
        <w:tc>
          <w:tcPr>
            <w:tcW w:w="495" w:type="dxa"/>
          </w:tcPr>
          <w:p w:rsidR="00B21003" w:rsidRPr="00044E23" w:rsidRDefault="00B21003" w:rsidP="00F20BCF">
            <w:pPr>
              <w:rPr>
                <w:sz w:val="16"/>
                <w:szCs w:val="16"/>
                <w:lang w:val="en-GB"/>
              </w:rPr>
            </w:pPr>
            <w:r w:rsidRPr="00044E23">
              <w:rPr>
                <w:sz w:val="16"/>
                <w:szCs w:val="16"/>
                <w:lang w:val="en-GB"/>
              </w:rPr>
              <w:t>22</w:t>
            </w:r>
          </w:p>
        </w:tc>
        <w:tc>
          <w:tcPr>
            <w:tcW w:w="7869" w:type="dxa"/>
          </w:tcPr>
          <w:p w:rsidR="00B21003" w:rsidRPr="00044E23" w:rsidRDefault="00B21003" w:rsidP="00F20BCF">
            <w:pPr>
              <w:rPr>
                <w:sz w:val="16"/>
                <w:szCs w:val="16"/>
                <w:lang w:val="en-GB"/>
              </w:rPr>
            </w:pPr>
            <w:r w:rsidRPr="00044E23">
              <w:rPr>
                <w:sz w:val="16"/>
                <w:szCs w:val="16"/>
                <w:lang w:val="en-GB"/>
              </w:rPr>
              <w:t>Establish mechanisms to test the effectiveness of the measures referred to in Article 22 (1-2).</w:t>
            </w:r>
          </w:p>
        </w:tc>
      </w:tr>
      <w:tr w:rsidR="00194271" w:rsidRPr="00044E23" w:rsidTr="00E16809">
        <w:tc>
          <w:tcPr>
            <w:tcW w:w="8364" w:type="dxa"/>
            <w:gridSpan w:val="2"/>
            <w:tcBorders>
              <w:top w:val="single" w:sz="4" w:space="0" w:color="auto"/>
              <w:bottom w:val="single" w:sz="4" w:space="0" w:color="auto"/>
            </w:tcBorders>
            <w:shd w:val="clear" w:color="auto" w:fill="DEE7F2"/>
          </w:tcPr>
          <w:p w:rsidR="00194271" w:rsidRPr="00044E23" w:rsidRDefault="00046C06" w:rsidP="00DB04CE">
            <w:pPr>
              <w:rPr>
                <w:i/>
                <w:sz w:val="16"/>
                <w:szCs w:val="16"/>
                <w:lang w:val="en-GB"/>
              </w:rPr>
            </w:pPr>
            <w:r w:rsidRPr="00044E23">
              <w:rPr>
                <w:i/>
                <w:sz w:val="16"/>
                <w:szCs w:val="16"/>
                <w:lang w:val="en-GB"/>
              </w:rPr>
              <w:t>Businesses will incur costs from appointing an independent internal or external auditor. This is also the case for drafting an audit plan and conducting monitoring. However, the costs arising from this obligation could not be quantified. During the study it was found that businesses are not yet able to estimate the quantitative impact of this future obligation.</w:t>
            </w:r>
          </w:p>
        </w:tc>
      </w:tr>
    </w:tbl>
    <w:p w:rsidR="00B21003" w:rsidRPr="00044E23" w:rsidRDefault="00B21003" w:rsidP="00B21003">
      <w:pPr>
        <w:rPr>
          <w:lang w:val="en-GB"/>
        </w:rPr>
      </w:pPr>
    </w:p>
    <w:p w:rsidR="0085280C" w:rsidRPr="00044E23" w:rsidRDefault="0085280C">
      <w:pPr>
        <w:rPr>
          <w:lang w:val="en-GB"/>
        </w:rPr>
      </w:pPr>
      <w:r w:rsidRPr="00044E23">
        <w:rPr>
          <w:lang w:val="en-GB"/>
        </w:rPr>
        <w:br w:type="page"/>
      </w:r>
    </w:p>
    <w:tbl>
      <w:tblPr>
        <w:tblStyle w:val="Tabellenraster"/>
        <w:tblW w:w="8364" w:type="dxa"/>
        <w:tblInd w:w="108" w:type="dxa"/>
        <w:tblLook w:val="04A0" w:firstRow="1" w:lastRow="0" w:firstColumn="1" w:lastColumn="0" w:noHBand="0" w:noVBand="1"/>
      </w:tblPr>
      <w:tblGrid>
        <w:gridCol w:w="495"/>
        <w:gridCol w:w="7869"/>
      </w:tblGrid>
      <w:tr w:rsidR="00B21003" w:rsidRPr="00044E23" w:rsidTr="00000F66">
        <w:tc>
          <w:tcPr>
            <w:tcW w:w="495"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Obligation under EDPR</w:t>
            </w:r>
          </w:p>
        </w:tc>
      </w:tr>
      <w:tr w:rsidR="00B21003" w:rsidRPr="00044E23" w:rsidTr="00000F66">
        <w:tc>
          <w:tcPr>
            <w:tcW w:w="495" w:type="dxa"/>
            <w:tcBorders>
              <w:bottom w:val="single" w:sz="4" w:space="0" w:color="auto"/>
            </w:tcBorders>
          </w:tcPr>
          <w:p w:rsidR="00B21003" w:rsidRPr="00044E23" w:rsidRDefault="00B21003" w:rsidP="00F20BCF">
            <w:pPr>
              <w:rPr>
                <w:sz w:val="16"/>
                <w:szCs w:val="16"/>
                <w:lang w:val="en-GB"/>
              </w:rPr>
            </w:pPr>
            <w:r w:rsidRPr="00044E23">
              <w:rPr>
                <w:sz w:val="16"/>
                <w:szCs w:val="16"/>
                <w:lang w:val="en-GB"/>
              </w:rPr>
              <w:t>23</w:t>
            </w:r>
          </w:p>
        </w:tc>
        <w:tc>
          <w:tcPr>
            <w:tcW w:w="7869" w:type="dxa"/>
            <w:tcBorders>
              <w:bottom w:val="single" w:sz="4" w:space="0" w:color="auto"/>
            </w:tcBorders>
          </w:tcPr>
          <w:p w:rsidR="00B21003" w:rsidRPr="00044E23" w:rsidRDefault="00B21003" w:rsidP="00F20BCF">
            <w:pPr>
              <w:rPr>
                <w:sz w:val="16"/>
                <w:szCs w:val="16"/>
                <w:lang w:val="en-GB"/>
              </w:rPr>
            </w:pPr>
            <w:r w:rsidRPr="00044E23">
              <w:rPr>
                <w:sz w:val="16"/>
                <w:szCs w:val="16"/>
                <w:lang w:val="en-GB"/>
              </w:rPr>
              <w:t>Implementing technical and organisational measures, procedures and mechanisms to ensure compliance with the Regulation and to guarantee protection of the data subject's rights</w:t>
            </w:r>
          </w:p>
        </w:tc>
      </w:tr>
      <w:tr w:rsidR="00B21003" w:rsidRPr="00044E23" w:rsidTr="00000F66">
        <w:tc>
          <w:tcPr>
            <w:tcW w:w="8364" w:type="dxa"/>
            <w:gridSpan w:val="2"/>
            <w:tcBorders>
              <w:top w:val="single" w:sz="4" w:space="0" w:color="auto"/>
              <w:bottom w:val="single" w:sz="4" w:space="0" w:color="auto"/>
            </w:tcBorders>
            <w:shd w:val="clear" w:color="auto" w:fill="DEE7F2"/>
          </w:tcPr>
          <w:p w:rsidR="00B21003" w:rsidRPr="00044E23" w:rsidRDefault="00F154D5" w:rsidP="00F154D5">
            <w:pPr>
              <w:rPr>
                <w:i/>
                <w:sz w:val="16"/>
                <w:szCs w:val="16"/>
                <w:lang w:val="en-GB"/>
              </w:rPr>
            </w:pPr>
            <w:r w:rsidRPr="00044E23">
              <w:rPr>
                <w:i/>
                <w:sz w:val="16"/>
                <w:szCs w:val="16"/>
                <w:lang w:val="en-GB"/>
              </w:rPr>
              <w:t>The costs arising from this obligation could not be separately quantified. In the calculation for the EDPR, it is assumed that these costs will overlap with the costs for ensuring compliance with Article 18 of the EDPR, as both obligations require investments in the development of new systems. The investments needed will be treated as a single cost item rather than two separate cost items.</w:t>
            </w:r>
          </w:p>
        </w:tc>
      </w:tr>
    </w:tbl>
    <w:p w:rsidR="00B21003" w:rsidRPr="00044E23" w:rsidRDefault="00B21003" w:rsidP="00B21003">
      <w:pPr>
        <w:rPr>
          <w:lang w:val="en-GB"/>
        </w:rPr>
      </w:pPr>
    </w:p>
    <w:tbl>
      <w:tblPr>
        <w:tblStyle w:val="Tabellenraster"/>
        <w:tblW w:w="8364" w:type="dxa"/>
        <w:tblInd w:w="108" w:type="dxa"/>
        <w:tblLook w:val="04A0" w:firstRow="1" w:lastRow="0" w:firstColumn="1" w:lastColumn="0" w:noHBand="0" w:noVBand="1"/>
      </w:tblPr>
      <w:tblGrid>
        <w:gridCol w:w="495"/>
        <w:gridCol w:w="7869"/>
      </w:tblGrid>
      <w:tr w:rsidR="00B21003" w:rsidRPr="00044E23" w:rsidTr="00000F66">
        <w:tc>
          <w:tcPr>
            <w:tcW w:w="495"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Obligation under EDPR</w:t>
            </w:r>
          </w:p>
        </w:tc>
      </w:tr>
      <w:tr w:rsidR="00B21003" w:rsidRPr="00044E23" w:rsidTr="00000F66">
        <w:tc>
          <w:tcPr>
            <w:tcW w:w="495" w:type="dxa"/>
            <w:tcBorders>
              <w:bottom w:val="single" w:sz="4" w:space="0" w:color="auto"/>
            </w:tcBorders>
          </w:tcPr>
          <w:p w:rsidR="00B21003" w:rsidRPr="00044E23" w:rsidRDefault="00B21003" w:rsidP="00F20BCF">
            <w:pPr>
              <w:rPr>
                <w:sz w:val="16"/>
                <w:szCs w:val="16"/>
                <w:lang w:val="en-GB"/>
              </w:rPr>
            </w:pPr>
            <w:r w:rsidRPr="00044E23">
              <w:rPr>
                <w:sz w:val="16"/>
                <w:szCs w:val="16"/>
                <w:lang w:val="en-GB"/>
              </w:rPr>
              <w:t>28</w:t>
            </w:r>
          </w:p>
        </w:tc>
        <w:tc>
          <w:tcPr>
            <w:tcW w:w="7869" w:type="dxa"/>
            <w:tcBorders>
              <w:bottom w:val="single" w:sz="4" w:space="0" w:color="auto"/>
            </w:tcBorders>
          </w:tcPr>
          <w:p w:rsidR="00B21003" w:rsidRPr="00044E23" w:rsidRDefault="00B21003" w:rsidP="00F20BCF">
            <w:pPr>
              <w:rPr>
                <w:sz w:val="16"/>
                <w:szCs w:val="16"/>
                <w:lang w:val="en-GB"/>
              </w:rPr>
            </w:pPr>
            <w:r w:rsidRPr="00044E23">
              <w:rPr>
                <w:sz w:val="16"/>
                <w:szCs w:val="16"/>
                <w:lang w:val="en-GB"/>
              </w:rPr>
              <w:t>Keeping documentation on data processing operations</w:t>
            </w:r>
          </w:p>
        </w:tc>
      </w:tr>
      <w:tr w:rsidR="00B21003" w:rsidRPr="00044E23" w:rsidTr="00000F66">
        <w:tc>
          <w:tcPr>
            <w:tcW w:w="8364" w:type="dxa"/>
            <w:gridSpan w:val="2"/>
            <w:tcBorders>
              <w:top w:val="single" w:sz="4" w:space="0" w:color="auto"/>
              <w:bottom w:val="single" w:sz="4" w:space="0" w:color="auto"/>
            </w:tcBorders>
            <w:shd w:val="clear" w:color="auto" w:fill="DEE7F2"/>
          </w:tcPr>
          <w:p w:rsidR="00B21003" w:rsidRPr="00044E23" w:rsidRDefault="00B21003" w:rsidP="001C14F8">
            <w:pPr>
              <w:rPr>
                <w:i/>
                <w:sz w:val="16"/>
                <w:szCs w:val="16"/>
                <w:lang w:val="en-GB"/>
              </w:rPr>
            </w:pPr>
            <w:r w:rsidRPr="00044E23">
              <w:rPr>
                <w:i/>
                <w:sz w:val="16"/>
                <w:szCs w:val="16"/>
                <w:lang w:val="en-GB"/>
              </w:rPr>
              <w:t>This obligations serves to replace the reporting obligations under sections 27 and 28 of the DDPA. The obligation does not apply to organisations with fewer than 250 employees which process data as an ancillary activity. The term 'ancillary activity' is not clearly defined, which means there is scope for interpretation of the scope of the obligation.</w:t>
            </w:r>
          </w:p>
          <w:p w:rsidR="00F47536" w:rsidRPr="00044E23" w:rsidRDefault="00F47536" w:rsidP="00F47536">
            <w:pPr>
              <w:rPr>
                <w:i/>
                <w:sz w:val="16"/>
                <w:szCs w:val="16"/>
                <w:lang w:val="en-GB"/>
              </w:rPr>
            </w:pPr>
            <w:r w:rsidRPr="00044E23">
              <w:rPr>
                <w:i/>
                <w:sz w:val="16"/>
                <w:szCs w:val="16"/>
                <w:lang w:val="en-GB"/>
              </w:rPr>
              <w:t>The obligation therefore applies to large businesses and small business that do not process data as an ancillary activity. For the calculation, two scenarios were produced in which an assumption was made for the number of small business that do not process data as an ancillary activity.</w:t>
            </w:r>
          </w:p>
          <w:p w:rsidR="009B7451" w:rsidRPr="00044E23" w:rsidRDefault="00F47536" w:rsidP="00F47536">
            <w:pPr>
              <w:rPr>
                <w:i/>
                <w:sz w:val="16"/>
                <w:szCs w:val="16"/>
                <w:lang w:val="en-GB"/>
              </w:rPr>
            </w:pPr>
            <w:r w:rsidRPr="00044E23">
              <w:rPr>
                <w:i/>
                <w:sz w:val="16"/>
                <w:szCs w:val="16"/>
                <w:lang w:val="en-GB"/>
              </w:rPr>
              <w:t>The first scenario results in a low estimate: the assumption here is that businesses in the following sectors will not process data as an ancillary activity:</w:t>
            </w:r>
          </w:p>
          <w:p w:rsidR="00F47536" w:rsidRPr="00044E23" w:rsidRDefault="00044E23" w:rsidP="00F47536">
            <w:pPr>
              <w:pStyle w:val="Listenabsatz"/>
              <w:numPr>
                <w:ilvl w:val="0"/>
                <w:numId w:val="22"/>
              </w:numPr>
              <w:ind w:left="357" w:hanging="357"/>
              <w:rPr>
                <w:i/>
                <w:sz w:val="16"/>
                <w:szCs w:val="16"/>
                <w:lang w:val="en-GB"/>
              </w:rPr>
            </w:pPr>
            <w:r w:rsidRPr="00044E23">
              <w:rPr>
                <w:i/>
                <w:sz w:val="16"/>
                <w:szCs w:val="16"/>
                <w:lang w:val="en-GB"/>
              </w:rPr>
              <w:t>Web shops</w:t>
            </w:r>
          </w:p>
          <w:p w:rsidR="00F47536" w:rsidRPr="00044E23" w:rsidRDefault="00F47536" w:rsidP="00F47536">
            <w:pPr>
              <w:pStyle w:val="Listenabsatz"/>
              <w:numPr>
                <w:ilvl w:val="0"/>
                <w:numId w:val="22"/>
              </w:numPr>
              <w:ind w:left="357" w:hanging="357"/>
              <w:rPr>
                <w:i/>
                <w:sz w:val="16"/>
                <w:szCs w:val="16"/>
                <w:lang w:val="en-GB"/>
              </w:rPr>
            </w:pPr>
            <w:r w:rsidRPr="00044E23">
              <w:rPr>
                <w:i/>
                <w:sz w:val="16"/>
                <w:szCs w:val="16"/>
                <w:lang w:val="en-GB"/>
              </w:rPr>
              <w:t>IT service providers</w:t>
            </w:r>
          </w:p>
          <w:p w:rsidR="00F47536" w:rsidRPr="00044E23" w:rsidRDefault="00F47536" w:rsidP="00F47536">
            <w:pPr>
              <w:pStyle w:val="Listenabsatz"/>
              <w:numPr>
                <w:ilvl w:val="0"/>
                <w:numId w:val="22"/>
              </w:numPr>
              <w:ind w:left="357" w:hanging="357"/>
              <w:rPr>
                <w:i/>
                <w:sz w:val="16"/>
                <w:szCs w:val="16"/>
                <w:lang w:val="en-GB"/>
              </w:rPr>
            </w:pPr>
            <w:r w:rsidRPr="00044E23">
              <w:rPr>
                <w:i/>
                <w:sz w:val="16"/>
                <w:szCs w:val="16"/>
                <w:lang w:val="en-GB"/>
              </w:rPr>
              <w:t>Information service providers</w:t>
            </w:r>
          </w:p>
          <w:p w:rsidR="00F47536" w:rsidRPr="00044E23" w:rsidRDefault="00F47536" w:rsidP="00F47536">
            <w:pPr>
              <w:rPr>
                <w:i/>
                <w:sz w:val="16"/>
                <w:szCs w:val="16"/>
                <w:lang w:val="en-GB"/>
              </w:rPr>
            </w:pPr>
            <w:r w:rsidRPr="00044E23">
              <w:rPr>
                <w:i/>
                <w:sz w:val="16"/>
                <w:szCs w:val="16"/>
                <w:lang w:val="en-GB"/>
              </w:rPr>
              <w:t>The second scenario results in a high estimate: the assumption here is that businesses in the following sectors will not process data as an ancillary activity:</w:t>
            </w:r>
          </w:p>
          <w:p w:rsidR="00F47536" w:rsidRPr="00044E23" w:rsidRDefault="00044E23" w:rsidP="00F47536">
            <w:pPr>
              <w:pStyle w:val="Listenabsatz"/>
              <w:numPr>
                <w:ilvl w:val="0"/>
                <w:numId w:val="22"/>
              </w:numPr>
              <w:ind w:left="357" w:hanging="357"/>
              <w:rPr>
                <w:i/>
                <w:sz w:val="16"/>
                <w:szCs w:val="16"/>
                <w:lang w:val="en-GB"/>
              </w:rPr>
            </w:pPr>
            <w:r w:rsidRPr="00044E23">
              <w:rPr>
                <w:i/>
                <w:sz w:val="16"/>
                <w:szCs w:val="16"/>
                <w:lang w:val="en-GB"/>
              </w:rPr>
              <w:t>Web shops</w:t>
            </w:r>
          </w:p>
          <w:p w:rsidR="00F47536" w:rsidRPr="00044E23" w:rsidRDefault="00F47536" w:rsidP="00F47536">
            <w:pPr>
              <w:pStyle w:val="Listenabsatz"/>
              <w:numPr>
                <w:ilvl w:val="0"/>
                <w:numId w:val="22"/>
              </w:numPr>
              <w:ind w:left="357" w:hanging="357"/>
              <w:rPr>
                <w:i/>
                <w:sz w:val="16"/>
                <w:szCs w:val="16"/>
                <w:lang w:val="en-GB"/>
              </w:rPr>
            </w:pPr>
            <w:r w:rsidRPr="00044E23">
              <w:rPr>
                <w:i/>
                <w:sz w:val="16"/>
                <w:szCs w:val="16"/>
                <w:lang w:val="en-GB"/>
              </w:rPr>
              <w:t>IT service providers</w:t>
            </w:r>
          </w:p>
          <w:p w:rsidR="00F47536" w:rsidRPr="00044E23" w:rsidRDefault="00F47536" w:rsidP="00F47536">
            <w:pPr>
              <w:pStyle w:val="Listenabsatz"/>
              <w:numPr>
                <w:ilvl w:val="0"/>
                <w:numId w:val="22"/>
              </w:numPr>
              <w:ind w:left="357" w:hanging="357"/>
              <w:rPr>
                <w:i/>
                <w:sz w:val="16"/>
                <w:szCs w:val="16"/>
                <w:lang w:val="en-GB"/>
              </w:rPr>
            </w:pPr>
            <w:r w:rsidRPr="00044E23">
              <w:rPr>
                <w:i/>
                <w:sz w:val="16"/>
                <w:szCs w:val="16"/>
                <w:lang w:val="en-GB"/>
              </w:rPr>
              <w:t>Information service providers</w:t>
            </w:r>
          </w:p>
          <w:p w:rsidR="00F47536" w:rsidRPr="00044E23" w:rsidRDefault="00F47536" w:rsidP="00F47536">
            <w:pPr>
              <w:pStyle w:val="Listenabsatz"/>
              <w:numPr>
                <w:ilvl w:val="0"/>
                <w:numId w:val="22"/>
              </w:numPr>
              <w:ind w:left="357" w:hanging="357"/>
              <w:rPr>
                <w:i/>
                <w:sz w:val="16"/>
                <w:szCs w:val="16"/>
                <w:lang w:val="en-GB"/>
              </w:rPr>
            </w:pPr>
            <w:r w:rsidRPr="00044E23">
              <w:rPr>
                <w:i/>
                <w:sz w:val="16"/>
                <w:szCs w:val="16"/>
                <w:lang w:val="en-GB"/>
              </w:rPr>
              <w:t>Telecom businesses</w:t>
            </w:r>
          </w:p>
          <w:p w:rsidR="00F47536" w:rsidRPr="00044E23" w:rsidRDefault="00F47536" w:rsidP="00F47536">
            <w:pPr>
              <w:pStyle w:val="Listenabsatz"/>
              <w:numPr>
                <w:ilvl w:val="0"/>
                <w:numId w:val="22"/>
              </w:numPr>
              <w:ind w:left="357" w:hanging="357"/>
              <w:rPr>
                <w:i/>
                <w:sz w:val="16"/>
                <w:szCs w:val="16"/>
                <w:lang w:val="en-GB"/>
              </w:rPr>
            </w:pPr>
            <w:r w:rsidRPr="00044E23">
              <w:rPr>
                <w:i/>
                <w:sz w:val="16"/>
                <w:szCs w:val="16"/>
                <w:lang w:val="en-GB"/>
              </w:rPr>
              <w:t>Legal services</w:t>
            </w:r>
          </w:p>
          <w:p w:rsidR="00F47536" w:rsidRPr="00044E23" w:rsidRDefault="00F47536" w:rsidP="00F47536">
            <w:pPr>
              <w:pStyle w:val="Listenabsatz"/>
              <w:numPr>
                <w:ilvl w:val="0"/>
                <w:numId w:val="22"/>
              </w:numPr>
              <w:ind w:left="357" w:hanging="357"/>
              <w:rPr>
                <w:i/>
                <w:sz w:val="16"/>
                <w:szCs w:val="16"/>
                <w:lang w:val="en-GB"/>
              </w:rPr>
            </w:pPr>
            <w:r w:rsidRPr="00044E23">
              <w:rPr>
                <w:i/>
                <w:sz w:val="16"/>
                <w:szCs w:val="16"/>
                <w:lang w:val="en-GB"/>
              </w:rPr>
              <w:t>Selection and recruitment</w:t>
            </w:r>
          </w:p>
          <w:p w:rsidR="00F47536" w:rsidRPr="00044E23" w:rsidRDefault="00F47536" w:rsidP="00F47536">
            <w:pPr>
              <w:pStyle w:val="Listenabsatz"/>
              <w:numPr>
                <w:ilvl w:val="0"/>
                <w:numId w:val="22"/>
              </w:numPr>
              <w:ind w:left="357" w:hanging="357"/>
              <w:rPr>
                <w:i/>
                <w:sz w:val="16"/>
                <w:szCs w:val="16"/>
                <w:lang w:val="en-GB"/>
              </w:rPr>
            </w:pPr>
            <w:r w:rsidRPr="00044E23">
              <w:rPr>
                <w:i/>
                <w:sz w:val="16"/>
                <w:szCs w:val="16"/>
                <w:lang w:val="en-GB"/>
              </w:rPr>
              <w:t>Healthcare</w:t>
            </w:r>
          </w:p>
          <w:p w:rsidR="00300FA3" w:rsidRPr="00044E23" w:rsidRDefault="00300FA3" w:rsidP="00300FA3">
            <w:pPr>
              <w:rPr>
                <w:i/>
                <w:sz w:val="16"/>
                <w:szCs w:val="16"/>
                <w:lang w:val="en-GB"/>
              </w:rPr>
            </w:pPr>
            <w:r w:rsidRPr="00044E23">
              <w:rPr>
                <w:i/>
                <w:sz w:val="16"/>
                <w:szCs w:val="16"/>
                <w:lang w:val="en-GB"/>
              </w:rPr>
              <w:t>Many other scenarios are, of course, possible. For instance, the term 'ancillary activity' could be interpreted in such a way that it only covers incidental data processing. If data processing is not incidental, but is done to facilitate (and is necessarily integrated with) the core business, then it can no longer be regarded as an ancillary activity. Presumably, the number of businesses processing personal data other than as an ancillary activity would then be even greater than in the second scenario.</w:t>
            </w:r>
          </w:p>
          <w:p w:rsidR="00A71F90" w:rsidRPr="00044E23" w:rsidRDefault="00A71F90" w:rsidP="00A71F90">
            <w:pPr>
              <w:rPr>
                <w:i/>
                <w:sz w:val="16"/>
                <w:szCs w:val="16"/>
                <w:lang w:val="en-GB"/>
              </w:rPr>
            </w:pPr>
            <w:r w:rsidRPr="00044E23">
              <w:rPr>
                <w:i/>
                <w:sz w:val="16"/>
                <w:szCs w:val="16"/>
                <w:lang w:val="en-GB"/>
              </w:rPr>
              <w:t>Furthermore, it is assumed that small businesses would perform five processing operations and large businesses would perform 50 processing operations per year. This is a conservative estimate.</w:t>
            </w:r>
          </w:p>
        </w:tc>
      </w:tr>
    </w:tbl>
    <w:p w:rsidR="00B21003" w:rsidRPr="00044E23" w:rsidRDefault="00B21003" w:rsidP="00B21003">
      <w:pPr>
        <w:rPr>
          <w:lang w:val="en-GB"/>
        </w:rPr>
      </w:pPr>
    </w:p>
    <w:tbl>
      <w:tblPr>
        <w:tblStyle w:val="Tabellenraster"/>
        <w:tblW w:w="8364" w:type="dxa"/>
        <w:tblInd w:w="108" w:type="dxa"/>
        <w:tblLook w:val="04A0" w:firstRow="1" w:lastRow="0" w:firstColumn="1" w:lastColumn="0" w:noHBand="0" w:noVBand="1"/>
      </w:tblPr>
      <w:tblGrid>
        <w:gridCol w:w="495"/>
        <w:gridCol w:w="7869"/>
      </w:tblGrid>
      <w:tr w:rsidR="00B21003" w:rsidRPr="00044E23" w:rsidTr="00000F66">
        <w:tc>
          <w:tcPr>
            <w:tcW w:w="495"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Obligation under EDPR</w:t>
            </w:r>
          </w:p>
        </w:tc>
      </w:tr>
      <w:tr w:rsidR="00B21003" w:rsidRPr="00044E23" w:rsidTr="00000F66">
        <w:tc>
          <w:tcPr>
            <w:tcW w:w="495" w:type="dxa"/>
            <w:tcBorders>
              <w:bottom w:val="single" w:sz="4" w:space="0" w:color="auto"/>
            </w:tcBorders>
          </w:tcPr>
          <w:p w:rsidR="00B21003" w:rsidRPr="00044E23" w:rsidRDefault="00B21003" w:rsidP="00F20BCF">
            <w:pPr>
              <w:rPr>
                <w:sz w:val="16"/>
                <w:szCs w:val="16"/>
                <w:lang w:val="en-GB"/>
              </w:rPr>
            </w:pPr>
            <w:r w:rsidRPr="00044E23">
              <w:rPr>
                <w:sz w:val="16"/>
                <w:szCs w:val="16"/>
                <w:lang w:val="en-GB"/>
              </w:rPr>
              <w:t>31</w:t>
            </w:r>
          </w:p>
        </w:tc>
        <w:tc>
          <w:tcPr>
            <w:tcW w:w="7869" w:type="dxa"/>
            <w:tcBorders>
              <w:bottom w:val="single" w:sz="4" w:space="0" w:color="auto"/>
            </w:tcBorders>
          </w:tcPr>
          <w:p w:rsidR="00B21003" w:rsidRPr="00044E23" w:rsidRDefault="00B21003" w:rsidP="00F20BCF">
            <w:pPr>
              <w:rPr>
                <w:sz w:val="16"/>
                <w:szCs w:val="16"/>
                <w:lang w:val="en-GB"/>
              </w:rPr>
            </w:pPr>
            <w:r w:rsidRPr="00044E23">
              <w:rPr>
                <w:sz w:val="16"/>
                <w:szCs w:val="16"/>
                <w:lang w:val="en-GB"/>
              </w:rPr>
              <w:t>Documentation of personal data breach</w:t>
            </w:r>
          </w:p>
        </w:tc>
      </w:tr>
      <w:tr w:rsidR="00B21003" w:rsidRPr="00044E23" w:rsidTr="00000F66">
        <w:tc>
          <w:tcPr>
            <w:tcW w:w="8364" w:type="dxa"/>
            <w:gridSpan w:val="2"/>
            <w:tcBorders>
              <w:top w:val="single" w:sz="4" w:space="0" w:color="auto"/>
              <w:bottom w:val="single" w:sz="4" w:space="0" w:color="auto"/>
            </w:tcBorders>
            <w:shd w:val="clear" w:color="auto" w:fill="DEE7F2"/>
          </w:tcPr>
          <w:p w:rsidR="00B21003" w:rsidRPr="00044E23" w:rsidRDefault="00B21003" w:rsidP="00237E68">
            <w:pPr>
              <w:rPr>
                <w:i/>
                <w:sz w:val="16"/>
                <w:szCs w:val="16"/>
                <w:lang w:val="en-GB"/>
              </w:rPr>
            </w:pPr>
            <w:r w:rsidRPr="00044E23">
              <w:rPr>
                <w:i/>
                <w:sz w:val="16"/>
                <w:szCs w:val="16"/>
                <w:lang w:val="en-GB"/>
              </w:rPr>
              <w:t>The assumption for the calculation is that the number of documented cases will double compared to the calculation of the costs relating to the proposed Dutch legislation on the duty to report data leaks (wetsvoorstel meldplicht datalekken). The proposed legislation includes a softer regime for 'minor' transgressions, while under the EDPR all breaches must be documented.</w:t>
            </w:r>
          </w:p>
        </w:tc>
      </w:tr>
    </w:tbl>
    <w:p w:rsidR="00000F66" w:rsidRPr="00044E23" w:rsidRDefault="00000F66">
      <w:pPr>
        <w:rPr>
          <w:lang w:val="en-GB"/>
        </w:rPr>
      </w:pPr>
    </w:p>
    <w:p w:rsidR="0085280C" w:rsidRPr="00044E23" w:rsidRDefault="0085280C">
      <w:pPr>
        <w:rPr>
          <w:lang w:val="en-GB"/>
        </w:rPr>
      </w:pPr>
      <w:r w:rsidRPr="00044E23">
        <w:rPr>
          <w:lang w:val="en-GB"/>
        </w:rPr>
        <w:br w:type="page"/>
      </w:r>
    </w:p>
    <w:tbl>
      <w:tblPr>
        <w:tblStyle w:val="Tabellenraster"/>
        <w:tblW w:w="8364" w:type="dxa"/>
        <w:tblInd w:w="108" w:type="dxa"/>
        <w:tblLook w:val="04A0" w:firstRow="1" w:lastRow="0" w:firstColumn="1" w:lastColumn="0" w:noHBand="0" w:noVBand="1"/>
      </w:tblPr>
      <w:tblGrid>
        <w:gridCol w:w="495"/>
        <w:gridCol w:w="7869"/>
      </w:tblGrid>
      <w:tr w:rsidR="00B21003" w:rsidRPr="00044E23" w:rsidTr="00000F66">
        <w:tc>
          <w:tcPr>
            <w:tcW w:w="495"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Obligation under EDPR</w:t>
            </w:r>
          </w:p>
        </w:tc>
      </w:tr>
      <w:tr w:rsidR="00B21003" w:rsidRPr="00044E23" w:rsidTr="00000F66">
        <w:tc>
          <w:tcPr>
            <w:tcW w:w="495" w:type="dxa"/>
            <w:tcBorders>
              <w:bottom w:val="single" w:sz="4" w:space="0" w:color="auto"/>
            </w:tcBorders>
          </w:tcPr>
          <w:p w:rsidR="00B21003" w:rsidRPr="00044E23" w:rsidRDefault="00B21003" w:rsidP="00F20BCF">
            <w:pPr>
              <w:rPr>
                <w:sz w:val="16"/>
                <w:szCs w:val="16"/>
                <w:lang w:val="en-GB"/>
              </w:rPr>
            </w:pPr>
            <w:r w:rsidRPr="00044E23">
              <w:rPr>
                <w:sz w:val="16"/>
                <w:szCs w:val="16"/>
                <w:lang w:val="en-GB"/>
              </w:rPr>
              <w:t>32</w:t>
            </w:r>
          </w:p>
        </w:tc>
        <w:tc>
          <w:tcPr>
            <w:tcW w:w="7869" w:type="dxa"/>
            <w:tcBorders>
              <w:bottom w:val="single" w:sz="4" w:space="0" w:color="auto"/>
            </w:tcBorders>
          </w:tcPr>
          <w:p w:rsidR="00B21003" w:rsidRPr="00044E23" w:rsidRDefault="00B21003" w:rsidP="00F20BCF">
            <w:pPr>
              <w:rPr>
                <w:sz w:val="16"/>
                <w:szCs w:val="16"/>
                <w:lang w:val="en-GB"/>
              </w:rPr>
            </w:pPr>
            <w:r w:rsidRPr="00044E23">
              <w:rPr>
                <w:sz w:val="16"/>
                <w:szCs w:val="16"/>
                <w:lang w:val="en-GB"/>
              </w:rPr>
              <w:t>Communication of a personal data breach to the data subject</w:t>
            </w:r>
          </w:p>
        </w:tc>
      </w:tr>
      <w:tr w:rsidR="00B21003" w:rsidRPr="00044E23" w:rsidTr="00000F66">
        <w:tc>
          <w:tcPr>
            <w:tcW w:w="8364" w:type="dxa"/>
            <w:gridSpan w:val="2"/>
            <w:tcBorders>
              <w:top w:val="single" w:sz="4" w:space="0" w:color="auto"/>
              <w:bottom w:val="single" w:sz="4" w:space="0" w:color="auto"/>
            </w:tcBorders>
            <w:shd w:val="clear" w:color="auto" w:fill="DEE7F2"/>
          </w:tcPr>
          <w:p w:rsidR="00176AB6" w:rsidRPr="00044E23" w:rsidRDefault="00176AB6" w:rsidP="00176AB6">
            <w:pPr>
              <w:rPr>
                <w:i/>
                <w:sz w:val="16"/>
                <w:szCs w:val="16"/>
                <w:lang w:val="en-GB"/>
              </w:rPr>
            </w:pPr>
            <w:r w:rsidRPr="00044E23">
              <w:rPr>
                <w:i/>
                <w:sz w:val="16"/>
                <w:szCs w:val="16"/>
                <w:lang w:val="en-GB"/>
              </w:rPr>
              <w:t>In general, it can be said that the chance of data protection breaches is greater in the case of a minor processing operation than for a major processing operation, because the focus within the organisation is likely to be on appropriate security measures in the case of major processing operations compared to minor processing operations.</w:t>
            </w:r>
          </w:p>
          <w:p w:rsidR="00176AB6" w:rsidRPr="00044E23" w:rsidRDefault="00B21003" w:rsidP="00176AB6">
            <w:pPr>
              <w:rPr>
                <w:i/>
                <w:sz w:val="16"/>
                <w:szCs w:val="16"/>
                <w:lang w:val="en-GB"/>
              </w:rPr>
            </w:pPr>
            <w:r w:rsidRPr="00044E23">
              <w:rPr>
                <w:i/>
                <w:sz w:val="16"/>
                <w:szCs w:val="16"/>
                <w:lang w:val="en-GB"/>
              </w:rPr>
              <w:t>A single data breach could affect multiple data subjects, meaning that the number of communications to data subjects could be higher than the number of data protection breaches. In theory, the number of data subjects could be many times greater. It is impossible to make a reliable estimate of this in advance.</w:t>
            </w:r>
          </w:p>
          <w:p w:rsidR="00176AB6" w:rsidRPr="00044E23" w:rsidRDefault="00B21003" w:rsidP="00176AB6">
            <w:pPr>
              <w:rPr>
                <w:i/>
                <w:sz w:val="16"/>
                <w:szCs w:val="16"/>
                <w:lang w:val="en-GB"/>
              </w:rPr>
            </w:pPr>
            <w:r w:rsidRPr="00044E23">
              <w:rPr>
                <w:i/>
                <w:sz w:val="16"/>
                <w:szCs w:val="16"/>
                <w:lang w:val="en-GB"/>
              </w:rPr>
              <w:t>The assumption for the calculation is therefore that one data subject will be affected for each data protection breach. This ensures that comparability with the calculation of costs for the proposed Dutch legislation on the duty to report data leaks is retained.</w:t>
            </w:r>
          </w:p>
        </w:tc>
      </w:tr>
    </w:tbl>
    <w:p w:rsidR="00B21003" w:rsidRPr="00044E23" w:rsidRDefault="00B21003" w:rsidP="00B21003">
      <w:pPr>
        <w:rPr>
          <w:lang w:val="en-GB"/>
        </w:rPr>
      </w:pPr>
    </w:p>
    <w:tbl>
      <w:tblPr>
        <w:tblStyle w:val="Tabellenraster"/>
        <w:tblW w:w="0" w:type="auto"/>
        <w:tblInd w:w="108" w:type="dxa"/>
        <w:tblLook w:val="04A0" w:firstRow="1" w:lastRow="0" w:firstColumn="1" w:lastColumn="0" w:noHBand="0" w:noVBand="1"/>
      </w:tblPr>
      <w:tblGrid>
        <w:gridCol w:w="495"/>
        <w:gridCol w:w="7869"/>
      </w:tblGrid>
      <w:tr w:rsidR="00B21003" w:rsidRPr="00044E23" w:rsidTr="007B458B">
        <w:tc>
          <w:tcPr>
            <w:tcW w:w="495"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Obligation under EDPR</w:t>
            </w:r>
          </w:p>
        </w:tc>
      </w:tr>
      <w:tr w:rsidR="00B21003" w:rsidRPr="00044E23" w:rsidTr="007B458B">
        <w:tc>
          <w:tcPr>
            <w:tcW w:w="495" w:type="dxa"/>
          </w:tcPr>
          <w:p w:rsidR="00B21003" w:rsidRPr="00044E23" w:rsidRDefault="00B21003" w:rsidP="00F20BCF">
            <w:pPr>
              <w:rPr>
                <w:sz w:val="16"/>
                <w:szCs w:val="16"/>
                <w:lang w:val="en-GB"/>
              </w:rPr>
            </w:pPr>
            <w:r w:rsidRPr="00044E23">
              <w:rPr>
                <w:sz w:val="16"/>
                <w:szCs w:val="16"/>
                <w:lang w:val="en-GB"/>
              </w:rPr>
              <w:t>33</w:t>
            </w:r>
          </w:p>
        </w:tc>
        <w:tc>
          <w:tcPr>
            <w:tcW w:w="7869" w:type="dxa"/>
          </w:tcPr>
          <w:p w:rsidR="00B21003" w:rsidRPr="00044E23" w:rsidRDefault="00B21003" w:rsidP="00F20BCF">
            <w:pPr>
              <w:rPr>
                <w:sz w:val="16"/>
                <w:szCs w:val="16"/>
                <w:lang w:val="en-GB"/>
              </w:rPr>
            </w:pPr>
            <w:r w:rsidRPr="00044E23">
              <w:rPr>
                <w:sz w:val="16"/>
                <w:szCs w:val="16"/>
                <w:lang w:val="en-GB"/>
              </w:rPr>
              <w:t>Data protection impact assessment</w:t>
            </w:r>
          </w:p>
        </w:tc>
      </w:tr>
      <w:tr w:rsidR="007B458B" w:rsidRPr="00044E23" w:rsidTr="007B458B">
        <w:tc>
          <w:tcPr>
            <w:tcW w:w="8364" w:type="dxa"/>
            <w:gridSpan w:val="2"/>
            <w:tcBorders>
              <w:top w:val="single" w:sz="4" w:space="0" w:color="auto"/>
              <w:bottom w:val="single" w:sz="4" w:space="0" w:color="auto"/>
            </w:tcBorders>
            <w:shd w:val="clear" w:color="auto" w:fill="DEE7F2"/>
          </w:tcPr>
          <w:p w:rsidR="00E664F8" w:rsidRPr="00044E23" w:rsidRDefault="007B458B" w:rsidP="00E664F8">
            <w:pPr>
              <w:rPr>
                <w:i/>
                <w:sz w:val="16"/>
                <w:szCs w:val="16"/>
                <w:lang w:val="en-GB"/>
              </w:rPr>
            </w:pPr>
            <w:r w:rsidRPr="00044E23">
              <w:rPr>
                <w:i/>
                <w:sz w:val="16"/>
                <w:szCs w:val="16"/>
                <w:lang w:val="en-GB"/>
              </w:rPr>
              <w:t>A data protection impact assessment is compulsory where processing operations present specific risks to the rights and freedoms of the data subject by virtue of their nature, their scope or their purposes. The term 'specific risk' is not clearly defined, which means there is scope for interpretation of the scope of the obligation.</w:t>
            </w:r>
          </w:p>
          <w:p w:rsidR="00E664F8" w:rsidRPr="00044E23" w:rsidRDefault="00E664F8" w:rsidP="00E664F8">
            <w:pPr>
              <w:rPr>
                <w:i/>
                <w:sz w:val="16"/>
                <w:szCs w:val="16"/>
                <w:lang w:val="en-GB"/>
              </w:rPr>
            </w:pPr>
            <w:r w:rsidRPr="00044E23">
              <w:rPr>
                <w:i/>
                <w:sz w:val="16"/>
                <w:szCs w:val="16"/>
                <w:lang w:val="en-GB"/>
              </w:rPr>
              <w:t>The assumption for the calculation is that small businesses will carry out one data protection impact assessment per year, while large businesses will carry out five; this only relates to businesses that are registered with the Dutch Data Protection Authority. This is a conservative estimate. In some sectors, the number of data protection impact assessments per business may be many times higher.</w:t>
            </w:r>
          </w:p>
          <w:p w:rsidR="00E664F8" w:rsidRPr="00044E23" w:rsidRDefault="00E664F8" w:rsidP="00E664F8">
            <w:pPr>
              <w:rPr>
                <w:i/>
                <w:sz w:val="16"/>
                <w:szCs w:val="16"/>
                <w:lang w:val="en-GB"/>
              </w:rPr>
            </w:pPr>
            <w:r w:rsidRPr="00044E23">
              <w:rPr>
                <w:i/>
                <w:sz w:val="16"/>
                <w:szCs w:val="16"/>
                <w:lang w:val="en-GB"/>
              </w:rPr>
              <w:t>Furthermore, the text of the Regulation implies that a data protection impact assessment will be preceded by a quick scan, given that it must first be established whether a specific risk is present.</w:t>
            </w:r>
          </w:p>
        </w:tc>
      </w:tr>
    </w:tbl>
    <w:p w:rsidR="00B21003" w:rsidRPr="00044E23" w:rsidRDefault="00B21003" w:rsidP="00B21003">
      <w:pPr>
        <w:rPr>
          <w:lang w:val="en-GB"/>
        </w:rPr>
      </w:pPr>
    </w:p>
    <w:tbl>
      <w:tblPr>
        <w:tblStyle w:val="Tabellenraster"/>
        <w:tblW w:w="0" w:type="auto"/>
        <w:tblInd w:w="79" w:type="dxa"/>
        <w:tblLook w:val="04A0" w:firstRow="1" w:lastRow="0" w:firstColumn="1" w:lastColumn="0" w:noHBand="0" w:noVBand="1"/>
      </w:tblPr>
      <w:tblGrid>
        <w:gridCol w:w="495"/>
        <w:gridCol w:w="7869"/>
      </w:tblGrid>
      <w:tr w:rsidR="00B21003" w:rsidRPr="00044E23" w:rsidTr="00000F66">
        <w:tc>
          <w:tcPr>
            <w:tcW w:w="495"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Art.</w:t>
            </w:r>
          </w:p>
        </w:tc>
        <w:tc>
          <w:tcPr>
            <w:tcW w:w="7869" w:type="dxa"/>
            <w:shd w:val="clear" w:color="auto" w:fill="B8CCE4" w:themeFill="accent1" w:themeFillTint="66"/>
          </w:tcPr>
          <w:p w:rsidR="00B21003" w:rsidRPr="00044E23" w:rsidRDefault="00B21003" w:rsidP="00F20BCF">
            <w:pPr>
              <w:rPr>
                <w:sz w:val="16"/>
                <w:szCs w:val="16"/>
                <w:lang w:val="en-GB"/>
              </w:rPr>
            </w:pPr>
            <w:r w:rsidRPr="00044E23">
              <w:rPr>
                <w:sz w:val="16"/>
                <w:szCs w:val="16"/>
                <w:lang w:val="en-GB"/>
              </w:rPr>
              <w:t>Obligation under EDPR</w:t>
            </w:r>
          </w:p>
        </w:tc>
      </w:tr>
      <w:tr w:rsidR="00B21003" w:rsidRPr="00044E23" w:rsidTr="00000F66">
        <w:tc>
          <w:tcPr>
            <w:tcW w:w="495" w:type="dxa"/>
            <w:tcBorders>
              <w:bottom w:val="single" w:sz="4" w:space="0" w:color="auto"/>
            </w:tcBorders>
          </w:tcPr>
          <w:p w:rsidR="00B21003" w:rsidRPr="00044E23" w:rsidRDefault="00B21003" w:rsidP="00F20BCF">
            <w:pPr>
              <w:rPr>
                <w:sz w:val="16"/>
                <w:szCs w:val="16"/>
                <w:lang w:val="en-GB"/>
              </w:rPr>
            </w:pPr>
            <w:r w:rsidRPr="00044E23">
              <w:rPr>
                <w:sz w:val="16"/>
                <w:szCs w:val="16"/>
                <w:lang w:val="en-GB"/>
              </w:rPr>
              <w:t>35</w:t>
            </w:r>
          </w:p>
        </w:tc>
        <w:tc>
          <w:tcPr>
            <w:tcW w:w="7869" w:type="dxa"/>
            <w:tcBorders>
              <w:bottom w:val="single" w:sz="4" w:space="0" w:color="auto"/>
            </w:tcBorders>
          </w:tcPr>
          <w:p w:rsidR="00B21003" w:rsidRPr="00044E23" w:rsidRDefault="00B21003" w:rsidP="00F20BCF">
            <w:pPr>
              <w:rPr>
                <w:sz w:val="16"/>
                <w:szCs w:val="16"/>
                <w:lang w:val="en-GB"/>
              </w:rPr>
            </w:pPr>
            <w:r w:rsidRPr="00044E23">
              <w:rPr>
                <w:sz w:val="16"/>
                <w:szCs w:val="16"/>
                <w:lang w:val="en-GB"/>
              </w:rPr>
              <w:t>Designation of a data protection officer</w:t>
            </w:r>
          </w:p>
        </w:tc>
      </w:tr>
      <w:tr w:rsidR="00B21003" w:rsidRPr="00044E23" w:rsidTr="00000F66">
        <w:tc>
          <w:tcPr>
            <w:tcW w:w="8364" w:type="dxa"/>
            <w:gridSpan w:val="2"/>
            <w:tcBorders>
              <w:top w:val="single" w:sz="4" w:space="0" w:color="auto"/>
              <w:bottom w:val="single" w:sz="4" w:space="0" w:color="auto"/>
            </w:tcBorders>
            <w:shd w:val="clear" w:color="auto" w:fill="DEE7F2"/>
          </w:tcPr>
          <w:p w:rsidR="00B21003" w:rsidRPr="00044E23" w:rsidRDefault="00B21003" w:rsidP="00F20BCF">
            <w:pPr>
              <w:rPr>
                <w:i/>
                <w:sz w:val="16"/>
                <w:szCs w:val="16"/>
                <w:lang w:val="en-GB"/>
              </w:rPr>
            </w:pPr>
            <w:r w:rsidRPr="00044E23">
              <w:rPr>
                <w:i/>
                <w:sz w:val="16"/>
                <w:szCs w:val="16"/>
                <w:lang w:val="en-GB"/>
              </w:rPr>
              <w:t>In the DDPA, the designation of a data protection officer is not obligatory. Under the EDPR, the obligation applies where:</w:t>
            </w:r>
          </w:p>
          <w:p w:rsidR="00B21003" w:rsidRPr="00044E23" w:rsidRDefault="00B21003" w:rsidP="00B21003">
            <w:pPr>
              <w:pStyle w:val="Listenabsatz"/>
              <w:numPr>
                <w:ilvl w:val="1"/>
                <w:numId w:val="21"/>
              </w:numPr>
              <w:spacing w:after="60"/>
              <w:ind w:left="357" w:hanging="357"/>
              <w:contextualSpacing/>
              <w:rPr>
                <w:i/>
                <w:sz w:val="16"/>
                <w:szCs w:val="16"/>
                <w:lang w:val="en-GB"/>
              </w:rPr>
            </w:pPr>
            <w:r w:rsidRPr="00044E23">
              <w:rPr>
                <w:i/>
                <w:sz w:val="16"/>
                <w:szCs w:val="16"/>
                <w:lang w:val="en-GB"/>
              </w:rPr>
              <w:t>the processing is carried out by a public authority or body; or</w:t>
            </w:r>
          </w:p>
          <w:p w:rsidR="00B21003" w:rsidRPr="00044E23" w:rsidRDefault="00B21003" w:rsidP="00B21003">
            <w:pPr>
              <w:pStyle w:val="Listenabsatz"/>
              <w:numPr>
                <w:ilvl w:val="1"/>
                <w:numId w:val="21"/>
              </w:numPr>
              <w:spacing w:after="60"/>
              <w:ind w:left="357" w:hanging="357"/>
              <w:contextualSpacing/>
              <w:rPr>
                <w:i/>
                <w:sz w:val="16"/>
                <w:szCs w:val="16"/>
                <w:lang w:val="en-GB"/>
              </w:rPr>
            </w:pPr>
            <w:r w:rsidRPr="00044E23">
              <w:rPr>
                <w:i/>
                <w:sz w:val="16"/>
                <w:szCs w:val="16"/>
                <w:lang w:val="en-GB"/>
              </w:rPr>
              <w:t>the processing is carried out by an enterprise employing 250 persons or more; or</w:t>
            </w:r>
          </w:p>
          <w:p w:rsidR="00B21003" w:rsidRPr="00044E23" w:rsidRDefault="00B21003" w:rsidP="00B21003">
            <w:pPr>
              <w:pStyle w:val="Listenabsatz"/>
              <w:numPr>
                <w:ilvl w:val="1"/>
                <w:numId w:val="21"/>
              </w:numPr>
              <w:spacing w:after="60"/>
              <w:ind w:left="357" w:hanging="357"/>
              <w:contextualSpacing/>
              <w:rPr>
                <w:i/>
                <w:sz w:val="16"/>
                <w:szCs w:val="16"/>
                <w:lang w:val="en-GB"/>
              </w:rPr>
            </w:pPr>
            <w:r w:rsidRPr="00044E23">
              <w:rPr>
                <w:i/>
                <w:sz w:val="16"/>
                <w:szCs w:val="16"/>
                <w:lang w:val="en-GB"/>
              </w:rPr>
              <w:t>the core activities of the controller or the processor consist of processing operations which, by virtue of their nature, their scope and/or their purposes, require regular and systematic monitoring of data subjects.</w:t>
            </w:r>
          </w:p>
          <w:p w:rsidR="00B21003" w:rsidRPr="00044E23" w:rsidRDefault="00B21003" w:rsidP="00F20BCF">
            <w:pPr>
              <w:rPr>
                <w:i/>
                <w:sz w:val="16"/>
                <w:szCs w:val="16"/>
                <w:lang w:val="en-GB"/>
              </w:rPr>
            </w:pPr>
            <w:r w:rsidRPr="00044E23">
              <w:rPr>
                <w:i/>
                <w:sz w:val="16"/>
                <w:szCs w:val="16"/>
                <w:lang w:val="en-GB"/>
              </w:rPr>
              <w:t>The calculation of the costs arising from this obligation include the costs of the duties carried out by the data protection offers in relation to data protection.</w:t>
            </w:r>
          </w:p>
          <w:p w:rsidR="00B70AAE" w:rsidRPr="00044E23" w:rsidRDefault="00E7793A" w:rsidP="00E7793A">
            <w:pPr>
              <w:rPr>
                <w:i/>
                <w:sz w:val="16"/>
                <w:szCs w:val="16"/>
                <w:lang w:val="en-GB"/>
              </w:rPr>
            </w:pPr>
            <w:r w:rsidRPr="00044E23">
              <w:rPr>
                <w:i/>
                <w:sz w:val="16"/>
                <w:szCs w:val="16"/>
                <w:lang w:val="en-GB"/>
              </w:rPr>
              <w:t>The assumption for the calculation is that in 4% of small businesses, the core activities consist of processing operations which, by virtue of their nature, their scope and/or their purposes, require regular and systematic monitoring of data subjects. These businesses will not designate a permanent data protection officer, but will hire an external party to fulfil the role of a data protection officer. It is assumed that small businesses will hire an external data protection officer for 24 hours per year. This is a conservative estimate.</w:t>
            </w:r>
          </w:p>
          <w:p w:rsidR="00F36AB6" w:rsidRPr="00044E23" w:rsidRDefault="00F36AB6" w:rsidP="00F36AB6">
            <w:pPr>
              <w:rPr>
                <w:i/>
                <w:sz w:val="16"/>
                <w:szCs w:val="16"/>
                <w:lang w:val="en-GB"/>
              </w:rPr>
            </w:pPr>
            <w:r w:rsidRPr="00044E23">
              <w:rPr>
                <w:i/>
                <w:sz w:val="16"/>
                <w:szCs w:val="16"/>
                <w:lang w:val="en-GB"/>
              </w:rPr>
              <w:t>For large businesses, it is assumed that they will employ one data protection officer. This is a conservative estimate. To avoid duplication, it is assumed that 75% of the work of the data protection officer is already included in the costs of complying with other obligations (such as Article 33). This means that the cost of complying with this obligation is based on 25% of the salary costs of a data protection officer. We note that there are differing views as to the duties of a data protection officer.</w:t>
            </w:r>
          </w:p>
          <w:p w:rsidR="00F36AB6" w:rsidRPr="00044E23" w:rsidRDefault="00F36AB6" w:rsidP="00F36AB6">
            <w:pPr>
              <w:rPr>
                <w:i/>
                <w:sz w:val="16"/>
                <w:szCs w:val="16"/>
                <w:lang w:val="en-GB"/>
              </w:rPr>
            </w:pPr>
            <w:r w:rsidRPr="00044E23">
              <w:rPr>
                <w:i/>
                <w:sz w:val="16"/>
                <w:szCs w:val="16"/>
                <w:lang w:val="en-GB"/>
              </w:rPr>
              <w:t>Training costs for the data protection officer are then added.</w:t>
            </w:r>
          </w:p>
          <w:p w:rsidR="00E16E10" w:rsidRPr="00044E23" w:rsidRDefault="00E16E10" w:rsidP="00E16E10">
            <w:pPr>
              <w:rPr>
                <w:i/>
                <w:sz w:val="16"/>
                <w:szCs w:val="16"/>
                <w:lang w:val="en-GB"/>
              </w:rPr>
            </w:pPr>
            <w:r w:rsidRPr="00044E23">
              <w:rPr>
                <w:i/>
                <w:sz w:val="16"/>
                <w:szCs w:val="16"/>
                <w:lang w:val="en-GB"/>
              </w:rPr>
              <w:t>Note that this only refers to the costs of an actual data protection officer. A business will also have to spend time on inducting a data protection officer in the organisation and also on following their instructions.</w:t>
            </w:r>
          </w:p>
        </w:tc>
      </w:tr>
    </w:tbl>
    <w:p w:rsidR="00F43AD2" w:rsidRPr="00044E23" w:rsidRDefault="00F43AD2" w:rsidP="00F43AD2">
      <w:pPr>
        <w:rPr>
          <w:lang w:val="en-GB"/>
        </w:rPr>
      </w:pPr>
    </w:p>
    <w:p w:rsidR="00F43AD2" w:rsidRPr="00044E23" w:rsidRDefault="00F43AD2" w:rsidP="003A6B87">
      <w:pPr>
        <w:rPr>
          <w:lang w:val="en-GB"/>
        </w:rPr>
      </w:pPr>
    </w:p>
    <w:p w:rsidR="00335FF4" w:rsidRPr="00044E23" w:rsidRDefault="00335FF4" w:rsidP="00335FF4">
      <w:pPr>
        <w:rPr>
          <w:lang w:val="en-GB"/>
        </w:rPr>
      </w:pPr>
    </w:p>
    <w:p w:rsidR="003A6B87" w:rsidRPr="00044E23" w:rsidRDefault="003A6B87" w:rsidP="003A6B87">
      <w:pPr>
        <w:pStyle w:val="berschrift1"/>
        <w:rPr>
          <w:lang w:val="en-GB"/>
        </w:rPr>
        <w:sectPr w:rsidR="003A6B87" w:rsidRPr="00044E23" w:rsidSect="00A6566D">
          <w:type w:val="oddPage"/>
          <w:pgSz w:w="11906" w:h="16838" w:code="9"/>
          <w:pgMar w:top="2835" w:right="1588" w:bottom="851" w:left="1985" w:header="851" w:footer="567" w:gutter="0"/>
          <w:cols w:space="708"/>
          <w:docGrid w:linePitch="360"/>
        </w:sectPr>
      </w:pPr>
    </w:p>
    <w:p w:rsidR="003A6B87" w:rsidRPr="00044E23" w:rsidRDefault="004113A8" w:rsidP="003A6B87">
      <w:pPr>
        <w:pStyle w:val="berschrift1"/>
        <w:rPr>
          <w:lang w:val="en-GB"/>
        </w:rPr>
      </w:pPr>
      <w:bookmarkStart w:id="11" w:name="_Toc360101914"/>
      <w:r w:rsidRPr="00044E23">
        <w:rPr>
          <w:lang w:val="en-GB"/>
        </w:rPr>
        <w:t>Comparison of administrative burden and compliance costs</w:t>
      </w:r>
      <w:bookmarkEnd w:id="11"/>
    </w:p>
    <w:p w:rsidR="00F102C2" w:rsidRPr="00044E23" w:rsidRDefault="00F102C2" w:rsidP="00F102C2">
      <w:pPr>
        <w:rPr>
          <w:lang w:val="en-GB"/>
        </w:rPr>
      </w:pPr>
      <w:r w:rsidRPr="00044E23">
        <w:rPr>
          <w:lang w:val="en-GB"/>
        </w:rPr>
        <w:t>This chapter sets out the costs arising under the proposed European Data Protection Regulation as well as under the Dutch Data Protection Act. The costs are calculated using the SCM and originate from the obligations as described in Chapter 4 and the described assumptions. The appended information on the SCM provides further details on how the costs were calculated. It also indicates exactly what the calculated costs are based on for each operation.</w:t>
      </w:r>
    </w:p>
    <w:p w:rsidR="003A6B87" w:rsidRPr="00044E23" w:rsidRDefault="00044E23" w:rsidP="003A6B87">
      <w:pPr>
        <w:pStyle w:val="berschrift2"/>
        <w:rPr>
          <w:lang w:val="en-GB"/>
        </w:rPr>
      </w:pPr>
      <w:bookmarkStart w:id="12" w:name="_Toc360101915"/>
      <w:r w:rsidRPr="00044E23">
        <w:rPr>
          <w:lang w:val="en-GB"/>
        </w:rPr>
        <w:t>Administrative</w:t>
      </w:r>
      <w:r w:rsidR="00D96C66" w:rsidRPr="00044E23">
        <w:rPr>
          <w:lang w:val="en-GB"/>
        </w:rPr>
        <w:t xml:space="preserve"> burden</w:t>
      </w:r>
      <w:bookmarkEnd w:id="12"/>
    </w:p>
    <w:p w:rsidR="00F102C2" w:rsidRPr="00044E23" w:rsidRDefault="006E1696" w:rsidP="003A6B87">
      <w:pPr>
        <w:rPr>
          <w:lang w:val="en-GB"/>
        </w:rPr>
      </w:pPr>
      <w:r w:rsidRPr="00044E23">
        <w:rPr>
          <w:lang w:val="en-GB"/>
        </w:rPr>
        <w:t>Table 3 shows the AB originating from the proposed European Data Protection Regulation. Table 4 shows the AB originating from the Dutch Data Protection Act.</w:t>
      </w:r>
    </w:p>
    <w:p w:rsidR="00A06902" w:rsidRPr="00044E23" w:rsidRDefault="00A06902" w:rsidP="00A06902">
      <w:pPr>
        <w:rPr>
          <w:lang w:val="en-GB"/>
        </w:rPr>
      </w:pPr>
    </w:p>
    <w:p w:rsidR="00A06902" w:rsidRPr="00044E23" w:rsidRDefault="00A06902" w:rsidP="00A06902">
      <w:pPr>
        <w:pStyle w:val="Beschriftung"/>
        <w:rPr>
          <w:lang w:val="en-GB"/>
        </w:rPr>
      </w:pPr>
      <w:r w:rsidRPr="00044E23">
        <w:rPr>
          <w:b/>
          <w:lang w:val="en-GB"/>
        </w:rPr>
        <w:t xml:space="preserve">Table </w:t>
      </w:r>
      <w:r w:rsidR="00772565" w:rsidRPr="00044E23">
        <w:rPr>
          <w:b/>
          <w:lang w:val="en-GB"/>
        </w:rPr>
        <w:fldChar w:fldCharType="begin"/>
      </w:r>
      <w:r w:rsidRPr="00044E23">
        <w:rPr>
          <w:b/>
          <w:lang w:val="en-GB"/>
        </w:rPr>
        <w:instrText xml:space="preserve"> SEQ Tabel \* ARABIC </w:instrText>
      </w:r>
      <w:r w:rsidR="00772565" w:rsidRPr="00044E23">
        <w:rPr>
          <w:b/>
          <w:lang w:val="en-GB"/>
        </w:rPr>
        <w:fldChar w:fldCharType="separate"/>
      </w:r>
      <w:r w:rsidR="00DE1A7B" w:rsidRPr="00044E23">
        <w:rPr>
          <w:b/>
          <w:lang w:val="en-GB"/>
        </w:rPr>
        <w:t>3</w:t>
      </w:r>
      <w:r w:rsidR="00772565" w:rsidRPr="00044E23">
        <w:rPr>
          <w:b/>
          <w:lang w:val="en-GB"/>
        </w:rPr>
        <w:fldChar w:fldCharType="end"/>
      </w:r>
      <w:r w:rsidRPr="00044E23">
        <w:rPr>
          <w:b/>
          <w:lang w:val="en-GB"/>
        </w:rPr>
        <w:t xml:space="preserve">. </w:t>
      </w:r>
      <w:r w:rsidR="00D96C66" w:rsidRPr="00044E23">
        <w:rPr>
          <w:lang w:val="en-GB"/>
        </w:rPr>
        <w:t>AB resulting from the European Data Protection Regulation.</w:t>
      </w:r>
    </w:p>
    <w:tbl>
      <w:tblPr>
        <w:tblStyle w:val="SIRAStandaardtabel"/>
        <w:tblW w:w="0" w:type="auto"/>
        <w:tblLayout w:type="fixed"/>
        <w:tblLook w:val="04A0" w:firstRow="1" w:lastRow="0" w:firstColumn="1" w:lastColumn="0" w:noHBand="0" w:noVBand="1"/>
      </w:tblPr>
      <w:tblGrid>
        <w:gridCol w:w="426"/>
        <w:gridCol w:w="6237"/>
        <w:gridCol w:w="283"/>
        <w:gridCol w:w="1444"/>
      </w:tblGrid>
      <w:tr w:rsidR="006E1696" w:rsidRPr="00044E23" w:rsidTr="00C10D9F">
        <w:trPr>
          <w:cnfStyle w:val="100000000000" w:firstRow="1" w:lastRow="0" w:firstColumn="0" w:lastColumn="0" w:oddVBand="0" w:evenVBand="0" w:oddHBand="0" w:evenHBand="0" w:firstRowFirstColumn="0" w:firstRowLastColumn="0" w:lastRowFirstColumn="0" w:lastRowLastColumn="0"/>
        </w:trPr>
        <w:tc>
          <w:tcPr>
            <w:tcW w:w="426" w:type="dxa"/>
          </w:tcPr>
          <w:p w:rsidR="006E1696" w:rsidRPr="00044E23" w:rsidRDefault="006E1696" w:rsidP="006E1696">
            <w:pPr>
              <w:jc w:val="right"/>
              <w:rPr>
                <w:lang w:val="en-GB"/>
              </w:rPr>
            </w:pPr>
            <w:r w:rsidRPr="00044E23">
              <w:rPr>
                <w:lang w:val="en-GB"/>
              </w:rPr>
              <w:t>Art.</w:t>
            </w:r>
          </w:p>
        </w:tc>
        <w:tc>
          <w:tcPr>
            <w:tcW w:w="6237" w:type="dxa"/>
          </w:tcPr>
          <w:p w:rsidR="006E1696" w:rsidRPr="00044E23" w:rsidRDefault="006E1696" w:rsidP="003162EC">
            <w:pPr>
              <w:rPr>
                <w:b w:val="0"/>
                <w:lang w:val="en-GB"/>
              </w:rPr>
            </w:pPr>
            <w:r w:rsidRPr="00044E23">
              <w:rPr>
                <w:lang w:val="en-GB"/>
              </w:rPr>
              <w:t>Obligation</w:t>
            </w:r>
          </w:p>
        </w:tc>
        <w:tc>
          <w:tcPr>
            <w:tcW w:w="283" w:type="dxa"/>
          </w:tcPr>
          <w:p w:rsidR="006E1696" w:rsidRPr="00044E23" w:rsidRDefault="006E1696" w:rsidP="00A06902">
            <w:pPr>
              <w:jc w:val="right"/>
              <w:rPr>
                <w:b w:val="0"/>
                <w:lang w:val="en-GB"/>
              </w:rPr>
            </w:pPr>
          </w:p>
        </w:tc>
        <w:tc>
          <w:tcPr>
            <w:tcW w:w="1444" w:type="dxa"/>
          </w:tcPr>
          <w:p w:rsidR="006E1696" w:rsidRPr="00044E23" w:rsidRDefault="003057A1" w:rsidP="00A06902">
            <w:pPr>
              <w:jc w:val="right"/>
              <w:rPr>
                <w:b w:val="0"/>
                <w:lang w:val="en-GB"/>
              </w:rPr>
            </w:pPr>
            <w:r w:rsidRPr="00044E23">
              <w:rPr>
                <w:lang w:val="en-GB"/>
              </w:rPr>
              <w:t>Costs</w:t>
            </w:r>
          </w:p>
        </w:tc>
      </w:tr>
      <w:tr w:rsidR="006E1696" w:rsidRPr="00044E23" w:rsidTr="00C10D9F">
        <w:tc>
          <w:tcPr>
            <w:tcW w:w="426" w:type="dxa"/>
          </w:tcPr>
          <w:p w:rsidR="006E1696" w:rsidRPr="00044E23" w:rsidRDefault="006E1696" w:rsidP="006E1696">
            <w:pPr>
              <w:jc w:val="right"/>
              <w:rPr>
                <w:lang w:val="en-GB"/>
              </w:rPr>
            </w:pPr>
            <w:r w:rsidRPr="00044E23">
              <w:rPr>
                <w:lang w:val="en-GB"/>
              </w:rPr>
              <w:t>9.</w:t>
            </w:r>
          </w:p>
        </w:tc>
        <w:tc>
          <w:tcPr>
            <w:tcW w:w="6237" w:type="dxa"/>
          </w:tcPr>
          <w:p w:rsidR="006E1696" w:rsidRPr="00044E23" w:rsidRDefault="006E1696" w:rsidP="006E1696">
            <w:pPr>
              <w:jc w:val="left"/>
              <w:rPr>
                <w:lang w:val="en-GB"/>
              </w:rPr>
            </w:pPr>
            <w:r w:rsidRPr="00044E23">
              <w:rPr>
                <w:lang w:val="en-GB"/>
              </w:rPr>
              <w:t>Request for exception from the prohibition on processing personal data under Article 9.</w:t>
            </w:r>
          </w:p>
        </w:tc>
        <w:tc>
          <w:tcPr>
            <w:tcW w:w="283" w:type="dxa"/>
            <w:tcBorders>
              <w:right w:val="nil"/>
            </w:tcBorders>
          </w:tcPr>
          <w:p w:rsidR="006E1696" w:rsidRPr="00044E23" w:rsidRDefault="003057A1" w:rsidP="006C7615">
            <w:pPr>
              <w:jc w:val="left"/>
              <w:rPr>
                <w:lang w:val="en-GB"/>
              </w:rPr>
            </w:pPr>
            <w:r w:rsidRPr="00044E23">
              <w:rPr>
                <w:lang w:val="en-GB"/>
              </w:rPr>
              <w:t>€</w:t>
            </w:r>
          </w:p>
        </w:tc>
        <w:tc>
          <w:tcPr>
            <w:tcW w:w="1444" w:type="dxa"/>
            <w:tcBorders>
              <w:top w:val="single" w:sz="4" w:space="0" w:color="auto"/>
              <w:left w:val="nil"/>
              <w:bottom w:val="single" w:sz="4" w:space="0" w:color="A6A6A6" w:themeColor="background1" w:themeShade="A6"/>
            </w:tcBorders>
          </w:tcPr>
          <w:p w:rsidR="006E1696" w:rsidRPr="00044E23" w:rsidRDefault="003057A1" w:rsidP="003162EC">
            <w:pPr>
              <w:jc w:val="right"/>
              <w:rPr>
                <w:lang w:val="en-GB"/>
              </w:rPr>
            </w:pPr>
            <w:r w:rsidRPr="00044E23">
              <w:rPr>
                <w:lang w:val="en-GB"/>
              </w:rPr>
              <w:t>87</w:t>
            </w:r>
          </w:p>
        </w:tc>
      </w:tr>
      <w:tr w:rsidR="006E1696" w:rsidRPr="00044E23" w:rsidTr="00C10D9F">
        <w:tc>
          <w:tcPr>
            <w:tcW w:w="426" w:type="dxa"/>
          </w:tcPr>
          <w:p w:rsidR="006E1696" w:rsidRPr="00044E23" w:rsidRDefault="006E1696" w:rsidP="00E16809">
            <w:pPr>
              <w:jc w:val="right"/>
              <w:rPr>
                <w:lang w:val="en-GB"/>
              </w:rPr>
            </w:pPr>
            <w:r w:rsidRPr="00044E23">
              <w:rPr>
                <w:lang w:val="en-GB"/>
              </w:rPr>
              <w:t>31.</w:t>
            </w:r>
          </w:p>
        </w:tc>
        <w:tc>
          <w:tcPr>
            <w:tcW w:w="6237" w:type="dxa"/>
          </w:tcPr>
          <w:p w:rsidR="006E1696" w:rsidRPr="00044E23" w:rsidRDefault="006E1696" w:rsidP="00E16809">
            <w:pPr>
              <w:jc w:val="left"/>
              <w:rPr>
                <w:lang w:val="en-GB"/>
              </w:rPr>
            </w:pPr>
            <w:r w:rsidRPr="00044E23">
              <w:rPr>
                <w:lang w:val="en-GB"/>
              </w:rPr>
              <w:t>Reporting data protection breaches to the supervisory authority.</w:t>
            </w:r>
          </w:p>
        </w:tc>
        <w:tc>
          <w:tcPr>
            <w:tcW w:w="283" w:type="dxa"/>
            <w:tcBorders>
              <w:right w:val="nil"/>
            </w:tcBorders>
          </w:tcPr>
          <w:p w:rsidR="006E1696" w:rsidRPr="00044E23" w:rsidRDefault="003057A1" w:rsidP="006C7615">
            <w:pPr>
              <w:jc w:val="left"/>
              <w:rPr>
                <w:lang w:val="en-GB"/>
              </w:rPr>
            </w:pPr>
            <w:r w:rsidRPr="00044E23">
              <w:rPr>
                <w:lang w:val="en-GB"/>
              </w:rPr>
              <w:t>€</w:t>
            </w:r>
          </w:p>
        </w:tc>
        <w:tc>
          <w:tcPr>
            <w:tcW w:w="1444" w:type="dxa"/>
            <w:tcBorders>
              <w:top w:val="single" w:sz="4" w:space="0" w:color="A6A6A6" w:themeColor="background1" w:themeShade="A6"/>
              <w:left w:val="nil"/>
              <w:bottom w:val="single" w:sz="4" w:space="0" w:color="A6A6A6" w:themeColor="background1" w:themeShade="A6"/>
            </w:tcBorders>
          </w:tcPr>
          <w:p w:rsidR="006E1696" w:rsidRPr="00044E23" w:rsidRDefault="003057A1" w:rsidP="003162EC">
            <w:pPr>
              <w:jc w:val="right"/>
              <w:rPr>
                <w:lang w:val="en-GB"/>
              </w:rPr>
            </w:pPr>
            <w:r w:rsidRPr="00044E23">
              <w:rPr>
                <w:lang w:val="en-GB"/>
              </w:rPr>
              <w:t>982,500</w:t>
            </w:r>
          </w:p>
        </w:tc>
      </w:tr>
      <w:tr w:rsidR="006E1696" w:rsidRPr="00044E23" w:rsidTr="00C10D9F">
        <w:tc>
          <w:tcPr>
            <w:tcW w:w="426" w:type="dxa"/>
          </w:tcPr>
          <w:p w:rsidR="006E1696" w:rsidRPr="00044E23" w:rsidRDefault="006E1696" w:rsidP="006E1696">
            <w:pPr>
              <w:jc w:val="right"/>
              <w:rPr>
                <w:lang w:val="en-GB"/>
              </w:rPr>
            </w:pPr>
            <w:r w:rsidRPr="00044E23">
              <w:rPr>
                <w:lang w:val="en-GB"/>
              </w:rPr>
              <w:t>34.</w:t>
            </w:r>
          </w:p>
        </w:tc>
        <w:tc>
          <w:tcPr>
            <w:tcW w:w="6237" w:type="dxa"/>
          </w:tcPr>
          <w:p w:rsidR="006E1696" w:rsidRPr="00044E23" w:rsidRDefault="006E1696" w:rsidP="006E1696">
            <w:pPr>
              <w:jc w:val="left"/>
              <w:rPr>
                <w:lang w:val="en-GB"/>
              </w:rPr>
            </w:pPr>
            <w:r w:rsidRPr="00044E23">
              <w:rPr>
                <w:lang w:val="en-GB"/>
              </w:rPr>
              <w:t>Consultation with supervisory authority prior to personal data processing</w:t>
            </w:r>
          </w:p>
        </w:tc>
        <w:tc>
          <w:tcPr>
            <w:tcW w:w="283" w:type="dxa"/>
            <w:tcBorders>
              <w:right w:val="nil"/>
            </w:tcBorders>
          </w:tcPr>
          <w:p w:rsidR="006E1696" w:rsidRPr="00044E23" w:rsidRDefault="003057A1" w:rsidP="006C7615">
            <w:pPr>
              <w:jc w:val="left"/>
              <w:rPr>
                <w:lang w:val="en-GB"/>
              </w:rPr>
            </w:pPr>
            <w:r w:rsidRPr="00044E23">
              <w:rPr>
                <w:lang w:val="en-GB"/>
              </w:rPr>
              <w:t>€</w:t>
            </w:r>
          </w:p>
        </w:tc>
        <w:tc>
          <w:tcPr>
            <w:tcW w:w="1444" w:type="dxa"/>
            <w:tcBorders>
              <w:top w:val="single" w:sz="4" w:space="0" w:color="A6A6A6" w:themeColor="background1" w:themeShade="A6"/>
              <w:left w:val="nil"/>
              <w:bottom w:val="single" w:sz="4" w:space="0" w:color="A6A6A6" w:themeColor="background1" w:themeShade="A6"/>
            </w:tcBorders>
          </w:tcPr>
          <w:p w:rsidR="006E1696" w:rsidRPr="00044E23" w:rsidRDefault="003057A1" w:rsidP="003162EC">
            <w:pPr>
              <w:jc w:val="right"/>
              <w:rPr>
                <w:lang w:val="en-GB"/>
              </w:rPr>
            </w:pPr>
            <w:r w:rsidRPr="00044E23">
              <w:rPr>
                <w:lang w:val="en-GB"/>
              </w:rPr>
              <w:t>818</w:t>
            </w:r>
          </w:p>
        </w:tc>
      </w:tr>
      <w:tr w:rsidR="006E1696" w:rsidRPr="00044E23" w:rsidTr="00C10D9F">
        <w:tc>
          <w:tcPr>
            <w:tcW w:w="426" w:type="dxa"/>
          </w:tcPr>
          <w:p w:rsidR="006E1696" w:rsidRPr="00044E23" w:rsidRDefault="006E1696" w:rsidP="006E1696">
            <w:pPr>
              <w:jc w:val="right"/>
              <w:rPr>
                <w:lang w:val="en-GB"/>
              </w:rPr>
            </w:pPr>
            <w:r w:rsidRPr="00044E23">
              <w:rPr>
                <w:lang w:val="en-GB"/>
              </w:rPr>
              <w:t>34/44.</w:t>
            </w:r>
          </w:p>
        </w:tc>
        <w:tc>
          <w:tcPr>
            <w:tcW w:w="6237" w:type="dxa"/>
          </w:tcPr>
          <w:p w:rsidR="006E1696" w:rsidRPr="00044E23" w:rsidRDefault="006E1696" w:rsidP="006E1696">
            <w:pPr>
              <w:jc w:val="left"/>
              <w:rPr>
                <w:lang w:val="en-GB"/>
              </w:rPr>
            </w:pPr>
            <w:r w:rsidRPr="00044E23">
              <w:rPr>
                <w:lang w:val="en-GB"/>
              </w:rPr>
              <w:t>Apply to the supervisory authority for permission prior to personal data processing and inform the supervisory authority of transfer in the case of legitimate interests of the data controller or the data processor, including documentation</w:t>
            </w:r>
          </w:p>
        </w:tc>
        <w:tc>
          <w:tcPr>
            <w:tcW w:w="283" w:type="dxa"/>
            <w:tcBorders>
              <w:right w:val="nil"/>
            </w:tcBorders>
          </w:tcPr>
          <w:p w:rsidR="006E1696" w:rsidRPr="00044E23" w:rsidRDefault="003057A1" w:rsidP="006C7615">
            <w:pPr>
              <w:jc w:val="left"/>
              <w:rPr>
                <w:lang w:val="en-GB"/>
              </w:rPr>
            </w:pPr>
            <w:r w:rsidRPr="00044E23">
              <w:rPr>
                <w:lang w:val="en-GB"/>
              </w:rPr>
              <w:t>€</w:t>
            </w:r>
          </w:p>
        </w:tc>
        <w:tc>
          <w:tcPr>
            <w:tcW w:w="1444" w:type="dxa"/>
            <w:tcBorders>
              <w:top w:val="single" w:sz="4" w:space="0" w:color="A6A6A6" w:themeColor="background1" w:themeShade="A6"/>
              <w:left w:val="nil"/>
              <w:bottom w:val="single" w:sz="4" w:space="0" w:color="A6A6A6" w:themeColor="background1" w:themeShade="A6"/>
            </w:tcBorders>
          </w:tcPr>
          <w:p w:rsidR="006E1696" w:rsidRPr="00044E23" w:rsidRDefault="003057A1" w:rsidP="003162EC">
            <w:pPr>
              <w:jc w:val="right"/>
              <w:rPr>
                <w:lang w:val="en-GB"/>
              </w:rPr>
            </w:pPr>
            <w:r w:rsidRPr="00044E23">
              <w:rPr>
                <w:lang w:val="en-GB"/>
              </w:rPr>
              <w:t>202,500</w:t>
            </w:r>
          </w:p>
        </w:tc>
      </w:tr>
      <w:tr w:rsidR="006E1696" w:rsidRPr="00044E23" w:rsidTr="00C10D9F">
        <w:tc>
          <w:tcPr>
            <w:tcW w:w="426" w:type="dxa"/>
          </w:tcPr>
          <w:p w:rsidR="006E1696" w:rsidRPr="00044E23" w:rsidRDefault="006E1696" w:rsidP="006E1696">
            <w:pPr>
              <w:jc w:val="right"/>
              <w:rPr>
                <w:lang w:val="en-GB"/>
              </w:rPr>
            </w:pPr>
            <w:r w:rsidRPr="00044E23">
              <w:rPr>
                <w:lang w:val="en-GB"/>
              </w:rPr>
              <w:t>35.</w:t>
            </w:r>
          </w:p>
        </w:tc>
        <w:tc>
          <w:tcPr>
            <w:tcW w:w="6237" w:type="dxa"/>
          </w:tcPr>
          <w:p w:rsidR="006E1696" w:rsidRPr="00044E23" w:rsidRDefault="006E1696" w:rsidP="006E1696">
            <w:pPr>
              <w:jc w:val="left"/>
              <w:rPr>
                <w:lang w:val="en-GB"/>
              </w:rPr>
            </w:pPr>
            <w:r w:rsidRPr="00044E23">
              <w:rPr>
                <w:lang w:val="en-GB"/>
              </w:rPr>
              <w:t>Communicate name and contact information of the data protection officer</w:t>
            </w:r>
          </w:p>
        </w:tc>
        <w:tc>
          <w:tcPr>
            <w:tcW w:w="283" w:type="dxa"/>
            <w:tcBorders>
              <w:right w:val="nil"/>
            </w:tcBorders>
          </w:tcPr>
          <w:p w:rsidR="006E1696" w:rsidRPr="00044E23" w:rsidRDefault="003057A1" w:rsidP="006C7615">
            <w:pPr>
              <w:jc w:val="left"/>
              <w:rPr>
                <w:lang w:val="en-GB"/>
              </w:rPr>
            </w:pPr>
            <w:r w:rsidRPr="00044E23">
              <w:rPr>
                <w:lang w:val="en-GB"/>
              </w:rPr>
              <w:t>€</w:t>
            </w:r>
          </w:p>
        </w:tc>
        <w:tc>
          <w:tcPr>
            <w:tcW w:w="1444" w:type="dxa"/>
            <w:tcBorders>
              <w:top w:val="single" w:sz="4" w:space="0" w:color="A6A6A6" w:themeColor="background1" w:themeShade="A6"/>
              <w:left w:val="nil"/>
              <w:bottom w:val="single" w:sz="4" w:space="0" w:color="A6A6A6" w:themeColor="background1" w:themeShade="A6"/>
            </w:tcBorders>
          </w:tcPr>
          <w:p w:rsidR="006E1696" w:rsidRPr="00044E23" w:rsidRDefault="003057A1" w:rsidP="003162EC">
            <w:pPr>
              <w:jc w:val="right"/>
              <w:rPr>
                <w:lang w:val="en-GB"/>
              </w:rPr>
            </w:pPr>
            <w:r w:rsidRPr="00044E23">
              <w:rPr>
                <w:lang w:val="en-GB"/>
              </w:rPr>
              <w:t>254,627</w:t>
            </w:r>
          </w:p>
        </w:tc>
      </w:tr>
      <w:tr w:rsidR="004410AA" w:rsidRPr="00044E23" w:rsidTr="00C10D9F">
        <w:tc>
          <w:tcPr>
            <w:tcW w:w="426" w:type="dxa"/>
          </w:tcPr>
          <w:p w:rsidR="004410AA" w:rsidRPr="00044E23" w:rsidRDefault="004410AA" w:rsidP="006E1696">
            <w:pPr>
              <w:jc w:val="right"/>
              <w:rPr>
                <w:lang w:val="en-GB"/>
              </w:rPr>
            </w:pPr>
            <w:r w:rsidRPr="00044E23">
              <w:rPr>
                <w:lang w:val="en-GB"/>
              </w:rPr>
              <w:t>38.</w:t>
            </w:r>
          </w:p>
        </w:tc>
        <w:tc>
          <w:tcPr>
            <w:tcW w:w="6237" w:type="dxa"/>
          </w:tcPr>
          <w:p w:rsidR="004410AA" w:rsidRPr="00044E23" w:rsidRDefault="004410AA" w:rsidP="006E1696">
            <w:pPr>
              <w:jc w:val="left"/>
              <w:rPr>
                <w:lang w:val="en-GB"/>
              </w:rPr>
            </w:pPr>
            <w:r w:rsidRPr="00044E23">
              <w:rPr>
                <w:lang w:val="en-GB"/>
              </w:rPr>
              <w:t xml:space="preserve">Applications for recognition of code of </w:t>
            </w:r>
            <w:r w:rsidR="00044E23" w:rsidRPr="00044E23">
              <w:rPr>
                <w:lang w:val="en-GB"/>
              </w:rPr>
              <w:t>conduct</w:t>
            </w:r>
          </w:p>
        </w:tc>
        <w:tc>
          <w:tcPr>
            <w:tcW w:w="283" w:type="dxa"/>
            <w:tcBorders>
              <w:right w:val="nil"/>
            </w:tcBorders>
          </w:tcPr>
          <w:p w:rsidR="004410AA" w:rsidRPr="00044E23" w:rsidRDefault="004410AA" w:rsidP="006C7615">
            <w:pPr>
              <w:jc w:val="left"/>
              <w:rPr>
                <w:lang w:val="en-GB"/>
              </w:rPr>
            </w:pPr>
            <w:r w:rsidRPr="00044E23">
              <w:rPr>
                <w:lang w:val="en-GB"/>
              </w:rPr>
              <w:t>€</w:t>
            </w:r>
          </w:p>
        </w:tc>
        <w:tc>
          <w:tcPr>
            <w:tcW w:w="1444" w:type="dxa"/>
            <w:tcBorders>
              <w:top w:val="single" w:sz="4" w:space="0" w:color="A6A6A6" w:themeColor="background1" w:themeShade="A6"/>
              <w:left w:val="nil"/>
              <w:bottom w:val="single" w:sz="4" w:space="0" w:color="A6A6A6" w:themeColor="background1" w:themeShade="A6"/>
            </w:tcBorders>
          </w:tcPr>
          <w:p w:rsidR="004410AA" w:rsidRPr="00044E23" w:rsidRDefault="004410AA" w:rsidP="003162EC">
            <w:pPr>
              <w:jc w:val="right"/>
              <w:rPr>
                <w:lang w:val="en-GB"/>
              </w:rPr>
            </w:pPr>
            <w:r w:rsidRPr="00044E23">
              <w:rPr>
                <w:lang w:val="en-GB"/>
              </w:rPr>
              <w:t>50,000</w:t>
            </w:r>
          </w:p>
        </w:tc>
      </w:tr>
      <w:tr w:rsidR="003057A1" w:rsidRPr="00044E23" w:rsidTr="00C10D9F">
        <w:tc>
          <w:tcPr>
            <w:tcW w:w="6663" w:type="dxa"/>
            <w:gridSpan w:val="2"/>
            <w:tcBorders>
              <w:top w:val="single" w:sz="4" w:space="0" w:color="000000" w:themeColor="text1"/>
              <w:bottom w:val="single" w:sz="4" w:space="0" w:color="000000" w:themeColor="text1"/>
            </w:tcBorders>
          </w:tcPr>
          <w:p w:rsidR="003057A1" w:rsidRPr="00044E23" w:rsidRDefault="003057A1" w:rsidP="00A06902">
            <w:pPr>
              <w:jc w:val="left"/>
              <w:rPr>
                <w:b/>
                <w:lang w:val="en-GB"/>
              </w:rPr>
            </w:pPr>
            <w:r w:rsidRPr="00044E23">
              <w:rPr>
                <w:b/>
                <w:lang w:val="en-GB"/>
              </w:rPr>
              <w:t>Total</w:t>
            </w:r>
          </w:p>
        </w:tc>
        <w:tc>
          <w:tcPr>
            <w:tcW w:w="283" w:type="dxa"/>
            <w:tcBorders>
              <w:top w:val="single" w:sz="4" w:space="0" w:color="000000" w:themeColor="text1"/>
              <w:bottom w:val="single" w:sz="4" w:space="0" w:color="000000" w:themeColor="text1"/>
              <w:right w:val="nil"/>
            </w:tcBorders>
          </w:tcPr>
          <w:p w:rsidR="003057A1" w:rsidRPr="00044E23" w:rsidRDefault="003057A1" w:rsidP="006C7615">
            <w:pPr>
              <w:jc w:val="left"/>
              <w:rPr>
                <w:b/>
                <w:lang w:val="en-GB"/>
              </w:rPr>
            </w:pPr>
            <w:r w:rsidRPr="00044E23">
              <w:rPr>
                <w:b/>
                <w:lang w:val="en-GB"/>
              </w:rPr>
              <w:t>€</w:t>
            </w:r>
          </w:p>
        </w:tc>
        <w:tc>
          <w:tcPr>
            <w:tcW w:w="1444" w:type="dxa"/>
            <w:tcBorders>
              <w:top w:val="single" w:sz="4" w:space="0" w:color="000000" w:themeColor="text1"/>
              <w:left w:val="nil"/>
              <w:bottom w:val="single" w:sz="4" w:space="0" w:color="000000" w:themeColor="text1"/>
            </w:tcBorders>
          </w:tcPr>
          <w:p w:rsidR="003057A1" w:rsidRPr="00044E23" w:rsidRDefault="003057A1" w:rsidP="003162EC">
            <w:pPr>
              <w:jc w:val="right"/>
              <w:rPr>
                <w:b/>
                <w:lang w:val="en-GB"/>
              </w:rPr>
            </w:pPr>
            <w:r w:rsidRPr="00044E23">
              <w:rPr>
                <w:b/>
                <w:lang w:val="en-GB"/>
              </w:rPr>
              <w:t>1,490,532</w:t>
            </w:r>
          </w:p>
        </w:tc>
      </w:tr>
    </w:tbl>
    <w:p w:rsidR="00A06902" w:rsidRPr="00044E23" w:rsidRDefault="00A06902" w:rsidP="00A06902">
      <w:pPr>
        <w:rPr>
          <w:lang w:val="en-GB"/>
        </w:rPr>
      </w:pPr>
    </w:p>
    <w:p w:rsidR="00A06902" w:rsidRPr="00044E23" w:rsidRDefault="00A06902" w:rsidP="00A06902">
      <w:pPr>
        <w:rPr>
          <w:sz w:val="16"/>
          <w:szCs w:val="16"/>
          <w:lang w:val="en-GB"/>
        </w:rPr>
      </w:pPr>
      <w:r w:rsidRPr="00044E23">
        <w:rPr>
          <w:b/>
          <w:sz w:val="16"/>
          <w:szCs w:val="16"/>
          <w:lang w:val="en-GB"/>
        </w:rPr>
        <w:t xml:space="preserve">Table </w:t>
      </w:r>
      <w:r w:rsidR="00772565" w:rsidRPr="00044E23">
        <w:rPr>
          <w:b/>
          <w:sz w:val="16"/>
          <w:szCs w:val="16"/>
          <w:lang w:val="en-GB"/>
        </w:rPr>
        <w:fldChar w:fldCharType="begin"/>
      </w:r>
      <w:r w:rsidRPr="00044E23">
        <w:rPr>
          <w:b/>
          <w:sz w:val="16"/>
          <w:szCs w:val="16"/>
          <w:lang w:val="en-GB"/>
        </w:rPr>
        <w:instrText xml:space="preserve"> SEQ Tabel \* ARABIC </w:instrText>
      </w:r>
      <w:r w:rsidR="00772565" w:rsidRPr="00044E23">
        <w:rPr>
          <w:b/>
          <w:sz w:val="16"/>
          <w:szCs w:val="16"/>
          <w:lang w:val="en-GB"/>
        </w:rPr>
        <w:fldChar w:fldCharType="separate"/>
      </w:r>
      <w:r w:rsidR="00DE1A7B" w:rsidRPr="00044E23">
        <w:rPr>
          <w:b/>
          <w:sz w:val="16"/>
          <w:szCs w:val="16"/>
          <w:lang w:val="en-GB"/>
        </w:rPr>
        <w:t>4</w:t>
      </w:r>
      <w:r w:rsidR="00772565" w:rsidRPr="00044E23">
        <w:rPr>
          <w:sz w:val="16"/>
          <w:szCs w:val="16"/>
          <w:lang w:val="en-GB"/>
        </w:rPr>
        <w:fldChar w:fldCharType="end"/>
      </w:r>
      <w:r w:rsidRPr="00044E23">
        <w:rPr>
          <w:b/>
          <w:sz w:val="16"/>
          <w:szCs w:val="16"/>
          <w:lang w:val="en-GB"/>
        </w:rPr>
        <w:t xml:space="preserve">. </w:t>
      </w:r>
      <w:r w:rsidR="00D96C66" w:rsidRPr="00044E23">
        <w:rPr>
          <w:sz w:val="16"/>
          <w:szCs w:val="16"/>
          <w:lang w:val="en-GB"/>
        </w:rPr>
        <w:t>AB resulting from the Dutch Data Protection Act</w:t>
      </w:r>
    </w:p>
    <w:tbl>
      <w:tblPr>
        <w:tblStyle w:val="SIRAStandaardtabel"/>
        <w:tblW w:w="0" w:type="auto"/>
        <w:tblLook w:val="04A0" w:firstRow="1" w:lastRow="0" w:firstColumn="1" w:lastColumn="0" w:noHBand="0" w:noVBand="1"/>
      </w:tblPr>
      <w:tblGrid>
        <w:gridCol w:w="422"/>
        <w:gridCol w:w="6241"/>
        <w:gridCol w:w="283"/>
        <w:gridCol w:w="1444"/>
      </w:tblGrid>
      <w:tr w:rsidR="00396B08" w:rsidRPr="00044E23" w:rsidTr="00C10D9F">
        <w:trPr>
          <w:cnfStyle w:val="100000000000" w:firstRow="1" w:lastRow="0" w:firstColumn="0" w:lastColumn="0" w:oddVBand="0" w:evenVBand="0" w:oddHBand="0" w:evenHBand="0" w:firstRowFirstColumn="0" w:firstRowLastColumn="0" w:lastRowFirstColumn="0" w:lastRowLastColumn="0"/>
        </w:trPr>
        <w:tc>
          <w:tcPr>
            <w:tcW w:w="422" w:type="dxa"/>
          </w:tcPr>
          <w:p w:rsidR="00396B08" w:rsidRPr="00044E23" w:rsidRDefault="00396B08" w:rsidP="003162EC">
            <w:pPr>
              <w:rPr>
                <w:lang w:val="en-GB"/>
              </w:rPr>
            </w:pPr>
            <w:r w:rsidRPr="00044E23">
              <w:rPr>
                <w:lang w:val="en-GB"/>
              </w:rPr>
              <w:t>Art.</w:t>
            </w:r>
          </w:p>
        </w:tc>
        <w:tc>
          <w:tcPr>
            <w:tcW w:w="6241" w:type="dxa"/>
          </w:tcPr>
          <w:p w:rsidR="00396B08" w:rsidRPr="00044E23" w:rsidRDefault="00396B08" w:rsidP="003162EC">
            <w:pPr>
              <w:rPr>
                <w:b w:val="0"/>
                <w:lang w:val="en-GB"/>
              </w:rPr>
            </w:pPr>
            <w:r w:rsidRPr="00044E23">
              <w:rPr>
                <w:lang w:val="en-GB"/>
              </w:rPr>
              <w:t>Obligation</w:t>
            </w:r>
          </w:p>
        </w:tc>
        <w:tc>
          <w:tcPr>
            <w:tcW w:w="283" w:type="dxa"/>
          </w:tcPr>
          <w:p w:rsidR="00396B08" w:rsidRPr="00044E23" w:rsidRDefault="00396B08" w:rsidP="00A06902">
            <w:pPr>
              <w:jc w:val="right"/>
              <w:rPr>
                <w:lang w:val="en-GB"/>
              </w:rPr>
            </w:pPr>
          </w:p>
        </w:tc>
        <w:tc>
          <w:tcPr>
            <w:tcW w:w="1444" w:type="dxa"/>
          </w:tcPr>
          <w:p w:rsidR="00396B08" w:rsidRPr="00044E23" w:rsidRDefault="00396B08" w:rsidP="00A06902">
            <w:pPr>
              <w:jc w:val="right"/>
              <w:rPr>
                <w:lang w:val="en-GB"/>
              </w:rPr>
            </w:pPr>
            <w:r w:rsidRPr="00044E23">
              <w:rPr>
                <w:lang w:val="en-GB"/>
              </w:rPr>
              <w:t>Costs</w:t>
            </w:r>
          </w:p>
        </w:tc>
      </w:tr>
      <w:tr w:rsidR="00396B08" w:rsidRPr="00044E23" w:rsidTr="00C10D9F">
        <w:tc>
          <w:tcPr>
            <w:tcW w:w="422" w:type="dxa"/>
          </w:tcPr>
          <w:p w:rsidR="00396B08" w:rsidRPr="00044E23" w:rsidRDefault="00396B08" w:rsidP="00396B08">
            <w:pPr>
              <w:jc w:val="left"/>
              <w:rPr>
                <w:lang w:val="en-GB"/>
              </w:rPr>
            </w:pPr>
            <w:r w:rsidRPr="00044E23">
              <w:rPr>
                <w:lang w:val="en-GB"/>
              </w:rPr>
              <w:t>23.</w:t>
            </w:r>
          </w:p>
        </w:tc>
        <w:tc>
          <w:tcPr>
            <w:tcW w:w="6241" w:type="dxa"/>
          </w:tcPr>
          <w:p w:rsidR="00396B08" w:rsidRPr="00044E23" w:rsidRDefault="00396B08" w:rsidP="00396B08">
            <w:pPr>
              <w:jc w:val="left"/>
              <w:rPr>
                <w:lang w:val="en-GB"/>
              </w:rPr>
            </w:pPr>
            <w:r w:rsidRPr="00044E23">
              <w:rPr>
                <w:lang w:val="en-GB"/>
              </w:rPr>
              <w:t>Request for exception from the prohibition on processing personal data under Article 16</w:t>
            </w:r>
          </w:p>
        </w:tc>
        <w:tc>
          <w:tcPr>
            <w:tcW w:w="283" w:type="dxa"/>
            <w:tcBorders>
              <w:right w:val="nil"/>
            </w:tcBorders>
          </w:tcPr>
          <w:p w:rsidR="00396B08" w:rsidRPr="00044E23" w:rsidRDefault="00396B08" w:rsidP="006C7615">
            <w:pPr>
              <w:jc w:val="left"/>
              <w:rPr>
                <w:lang w:val="en-GB"/>
              </w:rPr>
            </w:pPr>
            <w:r w:rsidRPr="00044E23">
              <w:rPr>
                <w:lang w:val="en-GB"/>
              </w:rPr>
              <w:t>€</w:t>
            </w:r>
          </w:p>
        </w:tc>
        <w:tc>
          <w:tcPr>
            <w:tcW w:w="1444" w:type="dxa"/>
            <w:tcBorders>
              <w:top w:val="single" w:sz="4" w:space="0" w:color="auto"/>
              <w:left w:val="nil"/>
              <w:bottom w:val="single" w:sz="4" w:space="0" w:color="A6A6A6" w:themeColor="background1" w:themeShade="A6"/>
            </w:tcBorders>
          </w:tcPr>
          <w:p w:rsidR="00396B08" w:rsidRPr="00044E23" w:rsidRDefault="00396B08" w:rsidP="003162EC">
            <w:pPr>
              <w:jc w:val="right"/>
              <w:rPr>
                <w:lang w:val="en-GB"/>
              </w:rPr>
            </w:pPr>
            <w:r w:rsidRPr="00044E23">
              <w:rPr>
                <w:lang w:val="en-GB"/>
              </w:rPr>
              <w:t>87</w:t>
            </w:r>
          </w:p>
        </w:tc>
      </w:tr>
      <w:tr w:rsidR="00396B08" w:rsidRPr="00044E23" w:rsidTr="00C10D9F">
        <w:tc>
          <w:tcPr>
            <w:tcW w:w="422" w:type="dxa"/>
          </w:tcPr>
          <w:p w:rsidR="00396B08" w:rsidRPr="00044E23" w:rsidRDefault="00396B08" w:rsidP="00396B08">
            <w:pPr>
              <w:jc w:val="left"/>
              <w:rPr>
                <w:lang w:val="en-GB"/>
              </w:rPr>
            </w:pPr>
            <w:r w:rsidRPr="00044E23">
              <w:rPr>
                <w:lang w:val="en-GB"/>
              </w:rPr>
              <w:t>25.</w:t>
            </w:r>
          </w:p>
        </w:tc>
        <w:tc>
          <w:tcPr>
            <w:tcW w:w="6241" w:type="dxa"/>
          </w:tcPr>
          <w:p w:rsidR="00396B08" w:rsidRPr="00044E23" w:rsidRDefault="00396B08" w:rsidP="00396B08">
            <w:pPr>
              <w:jc w:val="left"/>
              <w:rPr>
                <w:lang w:val="en-GB"/>
              </w:rPr>
            </w:pPr>
            <w:r w:rsidRPr="00044E23">
              <w:rPr>
                <w:lang w:val="en-GB"/>
              </w:rPr>
              <w:t xml:space="preserve">Applications for recognition of code of </w:t>
            </w:r>
            <w:r w:rsidR="00044E23" w:rsidRPr="00044E23">
              <w:rPr>
                <w:lang w:val="en-GB"/>
              </w:rPr>
              <w:t>conduct</w:t>
            </w:r>
          </w:p>
        </w:tc>
        <w:tc>
          <w:tcPr>
            <w:tcW w:w="283" w:type="dxa"/>
            <w:tcBorders>
              <w:right w:val="nil"/>
            </w:tcBorders>
          </w:tcPr>
          <w:p w:rsidR="00396B08" w:rsidRPr="00044E23" w:rsidRDefault="00396B08" w:rsidP="006C7615">
            <w:pPr>
              <w:jc w:val="left"/>
              <w:rPr>
                <w:lang w:val="en-GB"/>
              </w:rPr>
            </w:pPr>
            <w:r w:rsidRPr="00044E23">
              <w:rPr>
                <w:lang w:val="en-GB"/>
              </w:rPr>
              <w:t>€</w:t>
            </w:r>
          </w:p>
        </w:tc>
        <w:tc>
          <w:tcPr>
            <w:tcW w:w="1444" w:type="dxa"/>
            <w:tcBorders>
              <w:top w:val="single" w:sz="4" w:space="0" w:color="A6A6A6" w:themeColor="background1" w:themeShade="A6"/>
              <w:left w:val="nil"/>
              <w:bottom w:val="single" w:sz="4" w:space="0" w:color="A6A6A6" w:themeColor="background1" w:themeShade="A6"/>
            </w:tcBorders>
          </w:tcPr>
          <w:p w:rsidR="00396B08" w:rsidRPr="00044E23" w:rsidRDefault="00396B08" w:rsidP="003162EC">
            <w:pPr>
              <w:jc w:val="right"/>
              <w:rPr>
                <w:lang w:val="en-GB"/>
              </w:rPr>
            </w:pPr>
            <w:r w:rsidRPr="00044E23">
              <w:rPr>
                <w:lang w:val="en-GB"/>
              </w:rPr>
              <w:t>50,000</w:t>
            </w:r>
          </w:p>
        </w:tc>
      </w:tr>
      <w:tr w:rsidR="00396B08" w:rsidRPr="00044E23" w:rsidTr="00C10D9F">
        <w:tc>
          <w:tcPr>
            <w:tcW w:w="422" w:type="dxa"/>
          </w:tcPr>
          <w:p w:rsidR="00396B08" w:rsidRPr="00044E23" w:rsidRDefault="00396B08" w:rsidP="00396B08">
            <w:pPr>
              <w:jc w:val="left"/>
              <w:rPr>
                <w:lang w:val="en-GB"/>
              </w:rPr>
            </w:pPr>
            <w:r w:rsidRPr="00044E23">
              <w:rPr>
                <w:lang w:val="en-GB"/>
              </w:rPr>
              <w:t>32.</w:t>
            </w:r>
          </w:p>
        </w:tc>
        <w:tc>
          <w:tcPr>
            <w:tcW w:w="6241" w:type="dxa"/>
          </w:tcPr>
          <w:p w:rsidR="00396B08" w:rsidRPr="00044E23" w:rsidRDefault="00396B08" w:rsidP="00396B08">
            <w:pPr>
              <w:jc w:val="left"/>
              <w:rPr>
                <w:lang w:val="en-GB"/>
              </w:rPr>
            </w:pPr>
            <w:r w:rsidRPr="00044E23">
              <w:rPr>
                <w:lang w:val="en-GB"/>
              </w:rPr>
              <w:t>Notification of data processing to the Dutch Data Processing Authority covered by Art. 31 (i)</w:t>
            </w:r>
          </w:p>
        </w:tc>
        <w:tc>
          <w:tcPr>
            <w:tcW w:w="283" w:type="dxa"/>
            <w:tcBorders>
              <w:right w:val="nil"/>
            </w:tcBorders>
          </w:tcPr>
          <w:p w:rsidR="00396B08" w:rsidRPr="00044E23" w:rsidRDefault="00396B08" w:rsidP="006C7615">
            <w:pPr>
              <w:jc w:val="left"/>
              <w:rPr>
                <w:lang w:val="en-GB"/>
              </w:rPr>
            </w:pPr>
            <w:r w:rsidRPr="00044E23">
              <w:rPr>
                <w:lang w:val="en-GB"/>
              </w:rPr>
              <w:t>€</w:t>
            </w:r>
          </w:p>
        </w:tc>
        <w:tc>
          <w:tcPr>
            <w:tcW w:w="1444" w:type="dxa"/>
            <w:tcBorders>
              <w:top w:val="single" w:sz="4" w:space="0" w:color="A6A6A6" w:themeColor="background1" w:themeShade="A6"/>
              <w:left w:val="nil"/>
              <w:bottom w:val="single" w:sz="4" w:space="0" w:color="A6A6A6" w:themeColor="background1" w:themeShade="A6"/>
            </w:tcBorders>
          </w:tcPr>
          <w:p w:rsidR="00396B08" w:rsidRPr="00044E23" w:rsidRDefault="00396B08" w:rsidP="003162EC">
            <w:pPr>
              <w:jc w:val="right"/>
              <w:rPr>
                <w:lang w:val="en-GB"/>
              </w:rPr>
            </w:pPr>
            <w:r w:rsidRPr="00044E23">
              <w:rPr>
                <w:lang w:val="en-GB"/>
              </w:rPr>
              <w:t>818</w:t>
            </w:r>
          </w:p>
        </w:tc>
      </w:tr>
      <w:tr w:rsidR="00396B08" w:rsidRPr="00044E23" w:rsidTr="00C10D9F">
        <w:tc>
          <w:tcPr>
            <w:tcW w:w="422" w:type="dxa"/>
          </w:tcPr>
          <w:p w:rsidR="00396B08" w:rsidRPr="00044E23" w:rsidRDefault="00396B08" w:rsidP="00396B08">
            <w:pPr>
              <w:jc w:val="left"/>
              <w:rPr>
                <w:lang w:val="en-GB"/>
              </w:rPr>
            </w:pPr>
            <w:r w:rsidRPr="00044E23">
              <w:rPr>
                <w:lang w:val="en-GB"/>
              </w:rPr>
              <w:t>63.</w:t>
            </w:r>
          </w:p>
        </w:tc>
        <w:tc>
          <w:tcPr>
            <w:tcW w:w="6241" w:type="dxa"/>
          </w:tcPr>
          <w:p w:rsidR="00396B08" w:rsidRPr="00044E23" w:rsidRDefault="00396B08" w:rsidP="00396B08">
            <w:pPr>
              <w:jc w:val="left"/>
              <w:rPr>
                <w:lang w:val="en-GB"/>
              </w:rPr>
            </w:pPr>
            <w:r w:rsidRPr="00044E23">
              <w:rPr>
                <w:lang w:val="en-GB"/>
              </w:rPr>
              <w:t>Register the data protection officer with the Dutch Data Protection Authority.</w:t>
            </w:r>
          </w:p>
        </w:tc>
        <w:tc>
          <w:tcPr>
            <w:tcW w:w="283" w:type="dxa"/>
            <w:tcBorders>
              <w:right w:val="nil"/>
            </w:tcBorders>
          </w:tcPr>
          <w:p w:rsidR="00396B08" w:rsidRPr="00044E23" w:rsidRDefault="00396B08" w:rsidP="006C7615">
            <w:pPr>
              <w:jc w:val="left"/>
              <w:rPr>
                <w:lang w:val="en-GB"/>
              </w:rPr>
            </w:pPr>
            <w:r w:rsidRPr="00044E23">
              <w:rPr>
                <w:lang w:val="en-GB"/>
              </w:rPr>
              <w:t>€</w:t>
            </w:r>
          </w:p>
        </w:tc>
        <w:tc>
          <w:tcPr>
            <w:tcW w:w="1444" w:type="dxa"/>
            <w:tcBorders>
              <w:top w:val="single" w:sz="4" w:space="0" w:color="A6A6A6" w:themeColor="background1" w:themeShade="A6"/>
              <w:left w:val="nil"/>
              <w:bottom w:val="single" w:sz="4" w:space="0" w:color="A6A6A6" w:themeColor="background1" w:themeShade="A6"/>
            </w:tcBorders>
          </w:tcPr>
          <w:p w:rsidR="00396B08" w:rsidRPr="00044E23" w:rsidRDefault="00396B08" w:rsidP="003162EC">
            <w:pPr>
              <w:jc w:val="right"/>
              <w:rPr>
                <w:lang w:val="en-GB"/>
              </w:rPr>
            </w:pPr>
            <w:r w:rsidRPr="00044E23">
              <w:rPr>
                <w:lang w:val="en-GB"/>
              </w:rPr>
              <w:t>108</w:t>
            </w:r>
          </w:p>
        </w:tc>
      </w:tr>
      <w:tr w:rsidR="00396B08" w:rsidRPr="00044E23" w:rsidTr="00C10D9F">
        <w:tc>
          <w:tcPr>
            <w:tcW w:w="422" w:type="dxa"/>
          </w:tcPr>
          <w:p w:rsidR="00396B08" w:rsidRPr="00044E23" w:rsidRDefault="00396B08" w:rsidP="00396B08">
            <w:pPr>
              <w:jc w:val="left"/>
              <w:rPr>
                <w:lang w:val="en-GB"/>
              </w:rPr>
            </w:pPr>
            <w:r w:rsidRPr="00044E23">
              <w:rPr>
                <w:lang w:val="en-GB"/>
              </w:rPr>
              <w:t>77.</w:t>
            </w:r>
          </w:p>
        </w:tc>
        <w:tc>
          <w:tcPr>
            <w:tcW w:w="6241" w:type="dxa"/>
          </w:tcPr>
          <w:p w:rsidR="00396B08" w:rsidRPr="00044E23" w:rsidRDefault="00396B08" w:rsidP="00396B08">
            <w:pPr>
              <w:jc w:val="left"/>
              <w:rPr>
                <w:lang w:val="en-GB"/>
              </w:rPr>
            </w:pPr>
            <w:r w:rsidRPr="00044E23">
              <w:rPr>
                <w:lang w:val="en-GB"/>
              </w:rPr>
              <w:t>Applications for permission to transfer personal data or to transfer categories of personal data to a third country that does not offer suitable assurances of the level of protection.</w:t>
            </w:r>
          </w:p>
        </w:tc>
        <w:tc>
          <w:tcPr>
            <w:tcW w:w="283" w:type="dxa"/>
            <w:tcBorders>
              <w:right w:val="nil"/>
            </w:tcBorders>
          </w:tcPr>
          <w:p w:rsidR="00396B08" w:rsidRPr="00044E23" w:rsidRDefault="00396B08" w:rsidP="006C7615">
            <w:pPr>
              <w:jc w:val="left"/>
              <w:rPr>
                <w:lang w:val="en-GB"/>
              </w:rPr>
            </w:pPr>
            <w:r w:rsidRPr="00044E23">
              <w:rPr>
                <w:lang w:val="en-GB"/>
              </w:rPr>
              <w:t>€</w:t>
            </w:r>
          </w:p>
        </w:tc>
        <w:tc>
          <w:tcPr>
            <w:tcW w:w="1444" w:type="dxa"/>
            <w:tcBorders>
              <w:top w:val="single" w:sz="4" w:space="0" w:color="A6A6A6" w:themeColor="background1" w:themeShade="A6"/>
              <w:left w:val="nil"/>
              <w:bottom w:val="single" w:sz="4" w:space="0" w:color="A6A6A6" w:themeColor="background1" w:themeShade="A6"/>
            </w:tcBorders>
          </w:tcPr>
          <w:p w:rsidR="00396B08" w:rsidRPr="00044E23" w:rsidRDefault="00396B08" w:rsidP="003162EC">
            <w:pPr>
              <w:jc w:val="right"/>
              <w:rPr>
                <w:lang w:val="en-GB"/>
              </w:rPr>
            </w:pPr>
            <w:r w:rsidRPr="00044E23">
              <w:rPr>
                <w:lang w:val="en-GB"/>
              </w:rPr>
              <w:t>202,500</w:t>
            </w:r>
          </w:p>
        </w:tc>
      </w:tr>
      <w:tr w:rsidR="00396B08" w:rsidRPr="00044E23" w:rsidTr="00C10D9F">
        <w:tc>
          <w:tcPr>
            <w:tcW w:w="422" w:type="dxa"/>
          </w:tcPr>
          <w:p w:rsidR="00396B08" w:rsidRPr="00044E23" w:rsidRDefault="00396B08" w:rsidP="00396B08">
            <w:pPr>
              <w:jc w:val="left"/>
              <w:rPr>
                <w:lang w:val="en-GB"/>
              </w:rPr>
            </w:pPr>
            <w:r w:rsidRPr="00044E23">
              <w:rPr>
                <w:lang w:val="en-GB"/>
              </w:rPr>
              <w:t>27.</w:t>
            </w:r>
          </w:p>
        </w:tc>
        <w:tc>
          <w:tcPr>
            <w:tcW w:w="6241" w:type="dxa"/>
          </w:tcPr>
          <w:p w:rsidR="00396B08" w:rsidRPr="00044E23" w:rsidRDefault="00396B08" w:rsidP="00396B08">
            <w:pPr>
              <w:jc w:val="left"/>
              <w:rPr>
                <w:lang w:val="en-GB"/>
              </w:rPr>
            </w:pPr>
            <w:r w:rsidRPr="00044E23">
              <w:rPr>
                <w:lang w:val="en-GB"/>
              </w:rPr>
              <w:t>Report full or partial processing of personal data required for the realisation of a purpose or of various related purposes</w:t>
            </w:r>
          </w:p>
        </w:tc>
        <w:tc>
          <w:tcPr>
            <w:tcW w:w="283" w:type="dxa"/>
            <w:tcBorders>
              <w:right w:val="nil"/>
            </w:tcBorders>
          </w:tcPr>
          <w:p w:rsidR="00396B08" w:rsidRPr="00044E23" w:rsidRDefault="00396B08" w:rsidP="006C7615">
            <w:pPr>
              <w:jc w:val="left"/>
              <w:rPr>
                <w:lang w:val="en-GB"/>
              </w:rPr>
            </w:pPr>
            <w:r w:rsidRPr="00044E23">
              <w:rPr>
                <w:lang w:val="en-GB"/>
              </w:rPr>
              <w:t>€</w:t>
            </w:r>
          </w:p>
        </w:tc>
        <w:tc>
          <w:tcPr>
            <w:tcW w:w="1444" w:type="dxa"/>
            <w:tcBorders>
              <w:top w:val="single" w:sz="4" w:space="0" w:color="A6A6A6" w:themeColor="background1" w:themeShade="A6"/>
              <w:left w:val="nil"/>
              <w:bottom w:val="single" w:sz="4" w:space="0" w:color="A6A6A6" w:themeColor="background1" w:themeShade="A6"/>
            </w:tcBorders>
          </w:tcPr>
          <w:p w:rsidR="00396B08" w:rsidRPr="00044E23" w:rsidRDefault="00396B08" w:rsidP="003162EC">
            <w:pPr>
              <w:jc w:val="right"/>
              <w:rPr>
                <w:lang w:val="en-GB"/>
              </w:rPr>
            </w:pPr>
            <w:r w:rsidRPr="00044E23">
              <w:rPr>
                <w:lang w:val="en-GB"/>
              </w:rPr>
              <w:t>351,000</w:t>
            </w:r>
          </w:p>
        </w:tc>
      </w:tr>
      <w:tr w:rsidR="00396B08" w:rsidRPr="00044E23" w:rsidTr="00C10D9F">
        <w:tc>
          <w:tcPr>
            <w:tcW w:w="422" w:type="dxa"/>
            <w:tcBorders>
              <w:bottom w:val="single" w:sz="4" w:space="0" w:color="000000" w:themeColor="text1"/>
            </w:tcBorders>
          </w:tcPr>
          <w:p w:rsidR="00396B08" w:rsidRPr="00044E23" w:rsidRDefault="00396B08" w:rsidP="00396B08">
            <w:pPr>
              <w:jc w:val="left"/>
              <w:rPr>
                <w:lang w:val="en-GB"/>
              </w:rPr>
            </w:pPr>
            <w:r w:rsidRPr="00044E23">
              <w:rPr>
                <w:lang w:val="en-GB"/>
              </w:rPr>
              <w:t>28.</w:t>
            </w:r>
          </w:p>
        </w:tc>
        <w:tc>
          <w:tcPr>
            <w:tcW w:w="6241" w:type="dxa"/>
            <w:tcBorders>
              <w:bottom w:val="single" w:sz="4" w:space="0" w:color="000000" w:themeColor="text1"/>
            </w:tcBorders>
          </w:tcPr>
          <w:p w:rsidR="00396B08" w:rsidRPr="00044E23" w:rsidRDefault="00396B08" w:rsidP="00396B08">
            <w:pPr>
              <w:jc w:val="left"/>
              <w:rPr>
                <w:lang w:val="en-GB"/>
              </w:rPr>
            </w:pPr>
            <w:r w:rsidRPr="00044E23">
              <w:rPr>
                <w:lang w:val="en-GB"/>
              </w:rPr>
              <w:t>Reporting changes to initial report</w:t>
            </w:r>
          </w:p>
        </w:tc>
        <w:tc>
          <w:tcPr>
            <w:tcW w:w="283" w:type="dxa"/>
            <w:tcBorders>
              <w:bottom w:val="single" w:sz="4" w:space="0" w:color="000000" w:themeColor="text1"/>
              <w:right w:val="nil"/>
            </w:tcBorders>
          </w:tcPr>
          <w:p w:rsidR="00396B08" w:rsidRPr="00044E23" w:rsidRDefault="00396B08" w:rsidP="006C7615">
            <w:pPr>
              <w:jc w:val="left"/>
              <w:rPr>
                <w:lang w:val="en-GB"/>
              </w:rPr>
            </w:pPr>
            <w:r w:rsidRPr="00044E23">
              <w:rPr>
                <w:lang w:val="en-GB"/>
              </w:rPr>
              <w:t>€</w:t>
            </w:r>
          </w:p>
        </w:tc>
        <w:tc>
          <w:tcPr>
            <w:tcW w:w="1444" w:type="dxa"/>
            <w:tcBorders>
              <w:top w:val="single" w:sz="4" w:space="0" w:color="A6A6A6" w:themeColor="background1" w:themeShade="A6"/>
              <w:left w:val="nil"/>
              <w:bottom w:val="single" w:sz="4" w:space="0" w:color="000000" w:themeColor="text1"/>
            </w:tcBorders>
          </w:tcPr>
          <w:p w:rsidR="00396B08" w:rsidRPr="00044E23" w:rsidRDefault="00396B08" w:rsidP="003162EC">
            <w:pPr>
              <w:jc w:val="right"/>
              <w:rPr>
                <w:lang w:val="en-GB"/>
              </w:rPr>
            </w:pPr>
            <w:r w:rsidRPr="00044E23">
              <w:rPr>
                <w:lang w:val="en-GB"/>
              </w:rPr>
              <w:t>1,121,850</w:t>
            </w:r>
          </w:p>
        </w:tc>
      </w:tr>
      <w:tr w:rsidR="00396B08" w:rsidRPr="00044E23" w:rsidTr="00C10D9F">
        <w:tc>
          <w:tcPr>
            <w:tcW w:w="6663" w:type="dxa"/>
            <w:gridSpan w:val="2"/>
            <w:tcBorders>
              <w:top w:val="single" w:sz="4" w:space="0" w:color="000000" w:themeColor="text1"/>
              <w:bottom w:val="single" w:sz="4" w:space="0" w:color="000000" w:themeColor="text1"/>
            </w:tcBorders>
          </w:tcPr>
          <w:p w:rsidR="00396B08" w:rsidRPr="00044E23" w:rsidRDefault="00396B08" w:rsidP="00A06902">
            <w:pPr>
              <w:jc w:val="left"/>
              <w:rPr>
                <w:b/>
                <w:lang w:val="en-GB"/>
              </w:rPr>
            </w:pPr>
            <w:r w:rsidRPr="00044E23">
              <w:rPr>
                <w:b/>
                <w:lang w:val="en-GB"/>
              </w:rPr>
              <w:t>Total</w:t>
            </w:r>
          </w:p>
        </w:tc>
        <w:tc>
          <w:tcPr>
            <w:tcW w:w="283" w:type="dxa"/>
            <w:tcBorders>
              <w:top w:val="single" w:sz="4" w:space="0" w:color="000000" w:themeColor="text1"/>
              <w:bottom w:val="single" w:sz="4" w:space="0" w:color="000000" w:themeColor="text1"/>
              <w:right w:val="nil"/>
            </w:tcBorders>
          </w:tcPr>
          <w:p w:rsidR="00396B08" w:rsidRPr="00044E23" w:rsidRDefault="00396B08" w:rsidP="006C7615">
            <w:pPr>
              <w:jc w:val="left"/>
              <w:rPr>
                <w:b/>
                <w:lang w:val="en-GB"/>
              </w:rPr>
            </w:pPr>
            <w:r w:rsidRPr="00044E23">
              <w:rPr>
                <w:b/>
                <w:lang w:val="en-GB"/>
              </w:rPr>
              <w:t>€</w:t>
            </w:r>
          </w:p>
        </w:tc>
        <w:tc>
          <w:tcPr>
            <w:tcW w:w="1444" w:type="dxa"/>
            <w:tcBorders>
              <w:top w:val="single" w:sz="4" w:space="0" w:color="000000" w:themeColor="text1"/>
              <w:left w:val="nil"/>
              <w:bottom w:val="single" w:sz="4" w:space="0" w:color="000000" w:themeColor="text1"/>
            </w:tcBorders>
          </w:tcPr>
          <w:p w:rsidR="00396B08" w:rsidRPr="00044E23" w:rsidRDefault="00396B08" w:rsidP="003162EC">
            <w:pPr>
              <w:jc w:val="right"/>
              <w:rPr>
                <w:b/>
                <w:lang w:val="en-GB"/>
              </w:rPr>
            </w:pPr>
            <w:r w:rsidRPr="00044E23">
              <w:rPr>
                <w:b/>
                <w:lang w:val="en-GB"/>
              </w:rPr>
              <w:t>1,726,363</w:t>
            </w:r>
          </w:p>
        </w:tc>
      </w:tr>
    </w:tbl>
    <w:p w:rsidR="00A06902" w:rsidRPr="00044E23" w:rsidRDefault="00A06902" w:rsidP="00A06902">
      <w:pPr>
        <w:rPr>
          <w:lang w:val="en-GB"/>
        </w:rPr>
      </w:pPr>
    </w:p>
    <w:p w:rsidR="00E44DCD" w:rsidRPr="00044E23" w:rsidRDefault="00405920" w:rsidP="00A06902">
      <w:pPr>
        <w:rPr>
          <w:lang w:val="en-GB"/>
        </w:rPr>
      </w:pPr>
      <w:r w:rsidRPr="00044E23">
        <w:rPr>
          <w:lang w:val="en-GB"/>
        </w:rPr>
        <w:t>When the European Data Protection Regulation comes into force, the cost of AB for businesses in the Netherlands will reduce from €1,726,363 to €1,490,532 per year.</w:t>
      </w:r>
    </w:p>
    <w:p w:rsidR="00405920" w:rsidRPr="00044E23" w:rsidRDefault="00E44DCD" w:rsidP="00A06902">
      <w:pPr>
        <w:rPr>
          <w:lang w:val="en-GB"/>
        </w:rPr>
      </w:pPr>
      <w:r w:rsidRPr="00044E23">
        <w:rPr>
          <w:lang w:val="en-GB"/>
        </w:rPr>
        <w:t>However, as already described in the preceding chapter, a number of information obligations under the existing Dutch Data Protection Act are covered by the documentation obligation under Article 28 of the European Data Protection Regulation. The costs ensuing from this article actually qualify as CC rather than AL. These costs are therefore included in the next section.</w:t>
      </w:r>
    </w:p>
    <w:p w:rsidR="003A6B87" w:rsidRPr="00044E23" w:rsidRDefault="00D96C66" w:rsidP="003A6B87">
      <w:pPr>
        <w:pStyle w:val="berschrift2"/>
        <w:rPr>
          <w:lang w:val="en-GB"/>
        </w:rPr>
      </w:pPr>
      <w:bookmarkStart w:id="13" w:name="_Toc360101916"/>
      <w:r w:rsidRPr="00044E23">
        <w:rPr>
          <w:lang w:val="en-GB"/>
        </w:rPr>
        <w:t>Compliance costs</w:t>
      </w:r>
      <w:bookmarkEnd w:id="13"/>
    </w:p>
    <w:p w:rsidR="003A6B87" w:rsidRPr="00044E23" w:rsidRDefault="00E44DCD" w:rsidP="003A6B87">
      <w:pPr>
        <w:rPr>
          <w:lang w:val="en-GB"/>
        </w:rPr>
      </w:pPr>
      <w:r w:rsidRPr="00044E23">
        <w:rPr>
          <w:lang w:val="en-GB"/>
        </w:rPr>
        <w:t>Table 5 shows the CC originating from the proposed European Data Protection Regulation. Table 6 shows the CC originating from the Dutch Data Protection Act. It was impossible to quantify the costs associated with several obligations, so it is therefore possible that the actual costs may be higher.</w:t>
      </w:r>
    </w:p>
    <w:p w:rsidR="00A06902" w:rsidRPr="00044E23" w:rsidRDefault="00A06902" w:rsidP="00A06902">
      <w:pPr>
        <w:rPr>
          <w:lang w:val="en-GB"/>
        </w:rPr>
      </w:pPr>
    </w:p>
    <w:p w:rsidR="00A06902" w:rsidRPr="00044E23" w:rsidRDefault="00A06902" w:rsidP="00A06902">
      <w:pPr>
        <w:pStyle w:val="Beschriftung"/>
        <w:rPr>
          <w:lang w:val="en-GB"/>
        </w:rPr>
      </w:pPr>
      <w:r w:rsidRPr="00044E23">
        <w:rPr>
          <w:b/>
          <w:lang w:val="en-GB"/>
        </w:rPr>
        <w:t xml:space="preserve">Table </w:t>
      </w:r>
      <w:r w:rsidR="00772565" w:rsidRPr="00044E23">
        <w:rPr>
          <w:b/>
          <w:lang w:val="en-GB"/>
        </w:rPr>
        <w:fldChar w:fldCharType="begin"/>
      </w:r>
      <w:r w:rsidRPr="00044E23">
        <w:rPr>
          <w:b/>
          <w:lang w:val="en-GB"/>
        </w:rPr>
        <w:instrText xml:space="preserve"> SEQ Tabel \* ARABIC </w:instrText>
      </w:r>
      <w:r w:rsidR="00772565" w:rsidRPr="00044E23">
        <w:rPr>
          <w:b/>
          <w:lang w:val="en-GB"/>
        </w:rPr>
        <w:fldChar w:fldCharType="separate"/>
      </w:r>
      <w:r w:rsidR="00DE1A7B" w:rsidRPr="00044E23">
        <w:rPr>
          <w:b/>
          <w:lang w:val="en-GB"/>
        </w:rPr>
        <w:t>5</w:t>
      </w:r>
      <w:r w:rsidR="00772565" w:rsidRPr="00044E23">
        <w:rPr>
          <w:b/>
          <w:lang w:val="en-GB"/>
        </w:rPr>
        <w:fldChar w:fldCharType="end"/>
      </w:r>
      <w:r w:rsidRPr="00044E23">
        <w:rPr>
          <w:b/>
          <w:lang w:val="en-GB"/>
        </w:rPr>
        <w:t xml:space="preserve">. </w:t>
      </w:r>
      <w:r w:rsidR="00D96C66" w:rsidRPr="00044E23">
        <w:rPr>
          <w:lang w:val="en-GB"/>
        </w:rPr>
        <w:t>CC resulting from the European Data Protection Regulation.</w:t>
      </w:r>
    </w:p>
    <w:tbl>
      <w:tblPr>
        <w:tblStyle w:val="SIRAStandaardtabel"/>
        <w:tblW w:w="0" w:type="auto"/>
        <w:tblLayout w:type="fixed"/>
        <w:tblLook w:val="04A0" w:firstRow="1" w:lastRow="0" w:firstColumn="1" w:lastColumn="0" w:noHBand="0" w:noVBand="1"/>
      </w:tblPr>
      <w:tblGrid>
        <w:gridCol w:w="407"/>
        <w:gridCol w:w="4526"/>
        <w:gridCol w:w="284"/>
        <w:gridCol w:w="1417"/>
        <w:gridCol w:w="284"/>
        <w:gridCol w:w="1472"/>
      </w:tblGrid>
      <w:tr w:rsidR="005B6E4F" w:rsidRPr="00044E23" w:rsidTr="00C642BA">
        <w:trPr>
          <w:cnfStyle w:val="100000000000" w:firstRow="1" w:lastRow="0" w:firstColumn="0" w:lastColumn="0" w:oddVBand="0" w:evenVBand="0" w:oddHBand="0" w:evenHBand="0" w:firstRowFirstColumn="0" w:firstRowLastColumn="0" w:lastRowFirstColumn="0" w:lastRowLastColumn="0"/>
        </w:trPr>
        <w:tc>
          <w:tcPr>
            <w:tcW w:w="407" w:type="dxa"/>
          </w:tcPr>
          <w:p w:rsidR="005B6E4F" w:rsidRPr="00044E23" w:rsidRDefault="005B6E4F" w:rsidP="00E44DCD">
            <w:pPr>
              <w:jc w:val="right"/>
              <w:rPr>
                <w:lang w:val="en-GB"/>
              </w:rPr>
            </w:pPr>
            <w:r w:rsidRPr="00044E23">
              <w:rPr>
                <w:lang w:val="en-GB"/>
              </w:rPr>
              <w:t>Art.</w:t>
            </w:r>
          </w:p>
        </w:tc>
        <w:tc>
          <w:tcPr>
            <w:tcW w:w="4526" w:type="dxa"/>
          </w:tcPr>
          <w:p w:rsidR="005B6E4F" w:rsidRPr="00044E23" w:rsidRDefault="005B6E4F" w:rsidP="003162EC">
            <w:pPr>
              <w:rPr>
                <w:b w:val="0"/>
                <w:lang w:val="en-GB"/>
              </w:rPr>
            </w:pPr>
            <w:r w:rsidRPr="00044E23">
              <w:rPr>
                <w:lang w:val="en-GB"/>
              </w:rPr>
              <w:t>Obligation</w:t>
            </w:r>
          </w:p>
        </w:tc>
        <w:tc>
          <w:tcPr>
            <w:tcW w:w="284" w:type="dxa"/>
          </w:tcPr>
          <w:p w:rsidR="005B6E4F" w:rsidRPr="00044E23" w:rsidRDefault="005B6E4F" w:rsidP="003162EC">
            <w:pPr>
              <w:rPr>
                <w:lang w:val="en-GB"/>
              </w:rPr>
            </w:pPr>
          </w:p>
        </w:tc>
        <w:tc>
          <w:tcPr>
            <w:tcW w:w="1417" w:type="dxa"/>
          </w:tcPr>
          <w:p w:rsidR="005B6E4F" w:rsidRPr="00044E23" w:rsidRDefault="005B6E4F" w:rsidP="00C642BA">
            <w:pPr>
              <w:jc w:val="right"/>
              <w:rPr>
                <w:b w:val="0"/>
                <w:lang w:val="en-GB"/>
              </w:rPr>
            </w:pPr>
            <w:r w:rsidRPr="00044E23">
              <w:rPr>
                <w:lang w:val="en-GB"/>
              </w:rPr>
              <w:t>Low estimate</w:t>
            </w:r>
          </w:p>
        </w:tc>
        <w:tc>
          <w:tcPr>
            <w:tcW w:w="284" w:type="dxa"/>
          </w:tcPr>
          <w:p w:rsidR="005B6E4F" w:rsidRPr="00044E23" w:rsidRDefault="005B6E4F" w:rsidP="003162EC">
            <w:pPr>
              <w:rPr>
                <w:lang w:val="en-GB"/>
              </w:rPr>
            </w:pPr>
          </w:p>
        </w:tc>
        <w:tc>
          <w:tcPr>
            <w:tcW w:w="1472" w:type="dxa"/>
          </w:tcPr>
          <w:p w:rsidR="005B6E4F" w:rsidRPr="00044E23" w:rsidRDefault="005B6E4F" w:rsidP="00C642BA">
            <w:pPr>
              <w:jc w:val="right"/>
              <w:rPr>
                <w:b w:val="0"/>
                <w:lang w:val="en-GB"/>
              </w:rPr>
            </w:pPr>
            <w:r w:rsidRPr="00044E23">
              <w:rPr>
                <w:lang w:val="en-GB"/>
              </w:rPr>
              <w:t>High estimate</w:t>
            </w:r>
          </w:p>
        </w:tc>
      </w:tr>
      <w:tr w:rsidR="008A5D63" w:rsidRPr="00044E23" w:rsidTr="00E16809">
        <w:tc>
          <w:tcPr>
            <w:tcW w:w="407" w:type="dxa"/>
          </w:tcPr>
          <w:p w:rsidR="008A5D63" w:rsidRPr="00044E23" w:rsidRDefault="008A5D63" w:rsidP="00E16809">
            <w:pPr>
              <w:jc w:val="right"/>
              <w:rPr>
                <w:lang w:val="en-GB"/>
              </w:rPr>
            </w:pPr>
            <w:r w:rsidRPr="00044E23">
              <w:rPr>
                <w:lang w:val="en-GB"/>
              </w:rPr>
              <w:t>15.</w:t>
            </w:r>
          </w:p>
        </w:tc>
        <w:tc>
          <w:tcPr>
            <w:tcW w:w="4526" w:type="dxa"/>
          </w:tcPr>
          <w:p w:rsidR="008A5D63" w:rsidRPr="00044E23" w:rsidRDefault="008A5D63" w:rsidP="00E16809">
            <w:pPr>
              <w:rPr>
                <w:lang w:val="en-GB"/>
              </w:rPr>
            </w:pPr>
            <w:r w:rsidRPr="00044E23">
              <w:rPr>
                <w:lang w:val="en-GB"/>
              </w:rPr>
              <w:t>Provide the data subject with confirmation of whether personal data is processed and provide data (passive)</w:t>
            </w:r>
          </w:p>
        </w:tc>
        <w:tc>
          <w:tcPr>
            <w:tcW w:w="284" w:type="dxa"/>
            <w:tcBorders>
              <w:right w:val="nil"/>
            </w:tcBorders>
          </w:tcPr>
          <w:p w:rsidR="008A5D63" w:rsidRPr="00044E23" w:rsidRDefault="008A5D63" w:rsidP="006C7615">
            <w:pPr>
              <w:jc w:val="left"/>
              <w:rPr>
                <w:lang w:val="en-GB"/>
              </w:rPr>
            </w:pPr>
            <w:r w:rsidRPr="00044E23">
              <w:rPr>
                <w:lang w:val="en-GB"/>
              </w:rPr>
              <w:t>€</w:t>
            </w:r>
          </w:p>
        </w:tc>
        <w:tc>
          <w:tcPr>
            <w:tcW w:w="1417" w:type="dxa"/>
            <w:tcBorders>
              <w:top w:val="single" w:sz="4" w:space="0" w:color="A6A6A6" w:themeColor="background1" w:themeShade="A6"/>
              <w:left w:val="nil"/>
              <w:bottom w:val="single" w:sz="4" w:space="0" w:color="A6A6A6" w:themeColor="background1" w:themeShade="A6"/>
            </w:tcBorders>
          </w:tcPr>
          <w:p w:rsidR="008A5D63" w:rsidRPr="00044E23" w:rsidRDefault="00A06359" w:rsidP="00E16809">
            <w:pPr>
              <w:jc w:val="right"/>
              <w:rPr>
                <w:lang w:val="en-GB"/>
              </w:rPr>
            </w:pPr>
            <w:r w:rsidRPr="00044E23">
              <w:rPr>
                <w:lang w:val="en-GB"/>
              </w:rPr>
              <w:t>68,137,500</w:t>
            </w:r>
          </w:p>
        </w:tc>
        <w:tc>
          <w:tcPr>
            <w:tcW w:w="284" w:type="dxa"/>
            <w:tcBorders>
              <w:top w:val="single" w:sz="4" w:space="0" w:color="A6A6A6" w:themeColor="background1" w:themeShade="A6"/>
              <w:bottom w:val="single" w:sz="4" w:space="0" w:color="A6A6A6" w:themeColor="background1" w:themeShade="A6"/>
              <w:right w:val="nil"/>
            </w:tcBorders>
          </w:tcPr>
          <w:p w:rsidR="008A5D63" w:rsidRPr="00044E23" w:rsidRDefault="008A5D63" w:rsidP="006C7615">
            <w:pPr>
              <w:jc w:val="left"/>
              <w:rPr>
                <w:lang w:val="en-GB"/>
              </w:rPr>
            </w:pPr>
            <w:r w:rsidRPr="00044E23">
              <w:rPr>
                <w:lang w:val="en-GB"/>
              </w:rPr>
              <w:t>€</w:t>
            </w:r>
          </w:p>
        </w:tc>
        <w:tc>
          <w:tcPr>
            <w:tcW w:w="1472" w:type="dxa"/>
            <w:tcBorders>
              <w:left w:val="nil"/>
            </w:tcBorders>
          </w:tcPr>
          <w:p w:rsidR="008A5D63" w:rsidRPr="00044E23" w:rsidRDefault="00A06359" w:rsidP="00E16809">
            <w:pPr>
              <w:jc w:val="right"/>
              <w:rPr>
                <w:lang w:val="en-GB"/>
              </w:rPr>
            </w:pPr>
            <w:r w:rsidRPr="00044E23">
              <w:rPr>
                <w:lang w:val="en-GB"/>
              </w:rPr>
              <w:t>68,137,500</w:t>
            </w:r>
          </w:p>
        </w:tc>
      </w:tr>
      <w:tr w:rsidR="008A5D63" w:rsidRPr="00044E23" w:rsidTr="00E16809">
        <w:tc>
          <w:tcPr>
            <w:tcW w:w="407" w:type="dxa"/>
          </w:tcPr>
          <w:p w:rsidR="008A5D63" w:rsidRPr="00044E23" w:rsidRDefault="008A5D63" w:rsidP="00E16809">
            <w:pPr>
              <w:jc w:val="right"/>
              <w:rPr>
                <w:lang w:val="en-GB"/>
              </w:rPr>
            </w:pPr>
            <w:r w:rsidRPr="00044E23">
              <w:rPr>
                <w:lang w:val="en-GB"/>
              </w:rPr>
              <w:t>18/23.</w:t>
            </w:r>
          </w:p>
        </w:tc>
        <w:tc>
          <w:tcPr>
            <w:tcW w:w="4526" w:type="dxa"/>
          </w:tcPr>
          <w:p w:rsidR="008A5D63" w:rsidRPr="00044E23" w:rsidRDefault="008A5D63" w:rsidP="00E16809">
            <w:pPr>
              <w:rPr>
                <w:lang w:val="en-GB"/>
              </w:rPr>
            </w:pPr>
            <w:r w:rsidRPr="00044E23">
              <w:rPr>
                <w:lang w:val="en-GB"/>
              </w:rPr>
              <w:t>Provision of copy of data processed in an electronic and structured format, and implementing technical and organisational measures, procedures and mechanisms to ensure compliance with the Regulation and to guarantee protection of the data subject's rights</w:t>
            </w:r>
          </w:p>
        </w:tc>
        <w:tc>
          <w:tcPr>
            <w:tcW w:w="284" w:type="dxa"/>
            <w:tcBorders>
              <w:right w:val="nil"/>
            </w:tcBorders>
          </w:tcPr>
          <w:p w:rsidR="008A5D63" w:rsidRPr="00044E23" w:rsidRDefault="008A5D63" w:rsidP="006C7615">
            <w:pPr>
              <w:jc w:val="left"/>
              <w:rPr>
                <w:lang w:val="en-GB"/>
              </w:rPr>
            </w:pPr>
            <w:r w:rsidRPr="00044E23">
              <w:rPr>
                <w:lang w:val="en-GB"/>
              </w:rPr>
              <w:t>€</w:t>
            </w:r>
          </w:p>
        </w:tc>
        <w:tc>
          <w:tcPr>
            <w:tcW w:w="1417" w:type="dxa"/>
            <w:tcBorders>
              <w:top w:val="single" w:sz="4" w:space="0" w:color="A6A6A6" w:themeColor="background1" w:themeShade="A6"/>
              <w:left w:val="nil"/>
              <w:bottom w:val="single" w:sz="4" w:space="0" w:color="A6A6A6" w:themeColor="background1" w:themeShade="A6"/>
            </w:tcBorders>
          </w:tcPr>
          <w:p w:rsidR="008A5D63" w:rsidRPr="00044E23" w:rsidRDefault="00A06359" w:rsidP="00E16809">
            <w:pPr>
              <w:jc w:val="right"/>
              <w:rPr>
                <w:lang w:val="en-GB"/>
              </w:rPr>
            </w:pPr>
            <w:r w:rsidRPr="00044E23">
              <w:rPr>
                <w:lang w:val="en-GB"/>
              </w:rPr>
              <w:t>87,041,235</w:t>
            </w:r>
          </w:p>
        </w:tc>
        <w:tc>
          <w:tcPr>
            <w:tcW w:w="284" w:type="dxa"/>
            <w:tcBorders>
              <w:top w:val="single" w:sz="4" w:space="0" w:color="A6A6A6" w:themeColor="background1" w:themeShade="A6"/>
              <w:bottom w:val="single" w:sz="4" w:space="0" w:color="A6A6A6" w:themeColor="background1" w:themeShade="A6"/>
              <w:right w:val="nil"/>
            </w:tcBorders>
          </w:tcPr>
          <w:p w:rsidR="008A5D63" w:rsidRPr="00044E23" w:rsidRDefault="008A5D63" w:rsidP="006C7615">
            <w:pPr>
              <w:jc w:val="left"/>
              <w:rPr>
                <w:lang w:val="en-GB"/>
              </w:rPr>
            </w:pPr>
            <w:r w:rsidRPr="00044E23">
              <w:rPr>
                <w:lang w:val="en-GB"/>
              </w:rPr>
              <w:t>€</w:t>
            </w:r>
          </w:p>
        </w:tc>
        <w:tc>
          <w:tcPr>
            <w:tcW w:w="1472" w:type="dxa"/>
            <w:tcBorders>
              <w:left w:val="nil"/>
            </w:tcBorders>
          </w:tcPr>
          <w:p w:rsidR="008A5D63" w:rsidRPr="00044E23" w:rsidRDefault="00A06359" w:rsidP="00E16809">
            <w:pPr>
              <w:jc w:val="right"/>
              <w:rPr>
                <w:lang w:val="en-GB"/>
              </w:rPr>
            </w:pPr>
            <w:r w:rsidRPr="00044E23">
              <w:rPr>
                <w:lang w:val="en-GB"/>
              </w:rPr>
              <w:t>87,041,235</w:t>
            </w:r>
          </w:p>
        </w:tc>
      </w:tr>
      <w:tr w:rsidR="00A06359" w:rsidRPr="00044E23" w:rsidTr="00E16809">
        <w:tc>
          <w:tcPr>
            <w:tcW w:w="407" w:type="dxa"/>
          </w:tcPr>
          <w:p w:rsidR="00A06359" w:rsidRPr="00044E23" w:rsidRDefault="00A06359" w:rsidP="00E16809">
            <w:pPr>
              <w:jc w:val="right"/>
              <w:rPr>
                <w:lang w:val="en-GB"/>
              </w:rPr>
            </w:pPr>
            <w:r w:rsidRPr="00044E23">
              <w:rPr>
                <w:lang w:val="en-GB"/>
              </w:rPr>
              <w:t>26.</w:t>
            </w:r>
          </w:p>
        </w:tc>
        <w:tc>
          <w:tcPr>
            <w:tcW w:w="4526" w:type="dxa"/>
          </w:tcPr>
          <w:p w:rsidR="00A06359" w:rsidRPr="00044E23" w:rsidRDefault="00A06359" w:rsidP="00E16809">
            <w:pPr>
              <w:rPr>
                <w:lang w:val="en-GB"/>
              </w:rPr>
            </w:pPr>
            <w:r w:rsidRPr="00044E23">
              <w:rPr>
                <w:lang w:val="en-GB"/>
              </w:rPr>
              <w:t>Make contractual arrangements concerning processing operations by the data processor</w:t>
            </w:r>
          </w:p>
        </w:tc>
        <w:tc>
          <w:tcPr>
            <w:tcW w:w="284" w:type="dxa"/>
            <w:tcBorders>
              <w:right w:val="nil"/>
            </w:tcBorders>
          </w:tcPr>
          <w:p w:rsidR="00A06359" w:rsidRPr="00044E23" w:rsidRDefault="00A06359" w:rsidP="006C7615">
            <w:pPr>
              <w:jc w:val="left"/>
              <w:rPr>
                <w:lang w:val="en-GB"/>
              </w:rPr>
            </w:pPr>
            <w:r w:rsidRPr="00044E23">
              <w:rPr>
                <w:lang w:val="en-GB"/>
              </w:rPr>
              <w:t>€</w:t>
            </w:r>
          </w:p>
        </w:tc>
        <w:tc>
          <w:tcPr>
            <w:tcW w:w="1417" w:type="dxa"/>
            <w:tcBorders>
              <w:top w:val="single" w:sz="4" w:space="0" w:color="A6A6A6" w:themeColor="background1" w:themeShade="A6"/>
              <w:left w:val="nil"/>
              <w:bottom w:val="single" w:sz="4" w:space="0" w:color="A6A6A6" w:themeColor="background1" w:themeShade="A6"/>
            </w:tcBorders>
          </w:tcPr>
          <w:p w:rsidR="00A06359" w:rsidRPr="00044E23" w:rsidRDefault="00A06359" w:rsidP="00E16809">
            <w:pPr>
              <w:jc w:val="right"/>
              <w:rPr>
                <w:lang w:val="en-GB"/>
              </w:rPr>
            </w:pPr>
            <w:r w:rsidRPr="00044E23">
              <w:rPr>
                <w:lang w:val="en-GB"/>
              </w:rPr>
              <w:t>2,543,400</w:t>
            </w:r>
          </w:p>
        </w:tc>
        <w:tc>
          <w:tcPr>
            <w:tcW w:w="284" w:type="dxa"/>
            <w:tcBorders>
              <w:top w:val="single" w:sz="4" w:space="0" w:color="A6A6A6" w:themeColor="background1" w:themeShade="A6"/>
              <w:bottom w:val="single" w:sz="4" w:space="0" w:color="A6A6A6" w:themeColor="background1" w:themeShade="A6"/>
              <w:right w:val="nil"/>
            </w:tcBorders>
          </w:tcPr>
          <w:p w:rsidR="00A06359" w:rsidRPr="00044E23" w:rsidRDefault="00A06359" w:rsidP="006C7615">
            <w:pPr>
              <w:jc w:val="left"/>
              <w:rPr>
                <w:lang w:val="en-GB"/>
              </w:rPr>
            </w:pPr>
            <w:r w:rsidRPr="00044E23">
              <w:rPr>
                <w:lang w:val="en-GB"/>
              </w:rPr>
              <w:t>€</w:t>
            </w:r>
          </w:p>
        </w:tc>
        <w:tc>
          <w:tcPr>
            <w:tcW w:w="1472" w:type="dxa"/>
            <w:tcBorders>
              <w:left w:val="nil"/>
            </w:tcBorders>
          </w:tcPr>
          <w:p w:rsidR="00A06359" w:rsidRPr="00044E23" w:rsidRDefault="00A06359" w:rsidP="00E16809">
            <w:pPr>
              <w:jc w:val="right"/>
              <w:rPr>
                <w:lang w:val="en-GB"/>
              </w:rPr>
            </w:pPr>
            <w:r w:rsidRPr="00044E23">
              <w:rPr>
                <w:lang w:val="en-GB"/>
              </w:rPr>
              <w:t>2,543,400</w:t>
            </w:r>
          </w:p>
        </w:tc>
      </w:tr>
      <w:tr w:rsidR="00A06359" w:rsidRPr="00044E23" w:rsidTr="00E16809">
        <w:tc>
          <w:tcPr>
            <w:tcW w:w="407" w:type="dxa"/>
          </w:tcPr>
          <w:p w:rsidR="00A06359" w:rsidRPr="00044E23" w:rsidRDefault="00A06359" w:rsidP="00E16809">
            <w:pPr>
              <w:jc w:val="right"/>
              <w:rPr>
                <w:lang w:val="en-GB"/>
              </w:rPr>
            </w:pPr>
            <w:r w:rsidRPr="00044E23">
              <w:rPr>
                <w:lang w:val="en-GB"/>
              </w:rPr>
              <w:t>28.</w:t>
            </w:r>
          </w:p>
        </w:tc>
        <w:tc>
          <w:tcPr>
            <w:tcW w:w="4526" w:type="dxa"/>
          </w:tcPr>
          <w:p w:rsidR="00A06359" w:rsidRPr="00044E23" w:rsidRDefault="00A06359" w:rsidP="00E16809">
            <w:pPr>
              <w:rPr>
                <w:lang w:val="en-GB"/>
              </w:rPr>
            </w:pPr>
            <w:r w:rsidRPr="00044E23">
              <w:rPr>
                <w:lang w:val="en-GB"/>
              </w:rPr>
              <w:t>Keeping documentation on data processing operations</w:t>
            </w:r>
          </w:p>
        </w:tc>
        <w:tc>
          <w:tcPr>
            <w:tcW w:w="284" w:type="dxa"/>
            <w:tcBorders>
              <w:right w:val="nil"/>
            </w:tcBorders>
          </w:tcPr>
          <w:p w:rsidR="00A06359" w:rsidRPr="00044E23" w:rsidRDefault="00A06359" w:rsidP="006C7615">
            <w:pPr>
              <w:jc w:val="left"/>
              <w:rPr>
                <w:lang w:val="en-GB"/>
              </w:rPr>
            </w:pPr>
            <w:r w:rsidRPr="00044E23">
              <w:rPr>
                <w:lang w:val="en-GB"/>
              </w:rPr>
              <w:t>€</w:t>
            </w:r>
          </w:p>
        </w:tc>
        <w:tc>
          <w:tcPr>
            <w:tcW w:w="1417" w:type="dxa"/>
            <w:tcBorders>
              <w:top w:val="single" w:sz="4" w:space="0" w:color="A6A6A6" w:themeColor="background1" w:themeShade="A6"/>
              <w:left w:val="nil"/>
              <w:bottom w:val="single" w:sz="4" w:space="0" w:color="A6A6A6" w:themeColor="background1" w:themeShade="A6"/>
            </w:tcBorders>
          </w:tcPr>
          <w:p w:rsidR="00A06359" w:rsidRPr="00044E23" w:rsidRDefault="00A06359" w:rsidP="00E16809">
            <w:pPr>
              <w:jc w:val="right"/>
              <w:rPr>
                <w:lang w:val="en-GB"/>
              </w:rPr>
            </w:pPr>
            <w:r w:rsidRPr="00044E23">
              <w:rPr>
                <w:lang w:val="en-GB"/>
              </w:rPr>
              <w:t>156,337,500</w:t>
            </w:r>
          </w:p>
        </w:tc>
        <w:tc>
          <w:tcPr>
            <w:tcW w:w="284" w:type="dxa"/>
            <w:tcBorders>
              <w:top w:val="single" w:sz="4" w:space="0" w:color="A6A6A6" w:themeColor="background1" w:themeShade="A6"/>
              <w:bottom w:val="single" w:sz="4" w:space="0" w:color="A6A6A6" w:themeColor="background1" w:themeShade="A6"/>
              <w:right w:val="nil"/>
            </w:tcBorders>
          </w:tcPr>
          <w:p w:rsidR="00A06359" w:rsidRPr="00044E23" w:rsidRDefault="00A06359" w:rsidP="006C7615">
            <w:pPr>
              <w:jc w:val="left"/>
              <w:rPr>
                <w:lang w:val="en-GB"/>
              </w:rPr>
            </w:pPr>
            <w:r w:rsidRPr="00044E23">
              <w:rPr>
                <w:lang w:val="en-GB"/>
              </w:rPr>
              <w:t>€</w:t>
            </w:r>
          </w:p>
        </w:tc>
        <w:tc>
          <w:tcPr>
            <w:tcW w:w="1472" w:type="dxa"/>
            <w:tcBorders>
              <w:left w:val="nil"/>
            </w:tcBorders>
          </w:tcPr>
          <w:p w:rsidR="00A06359" w:rsidRPr="00044E23" w:rsidRDefault="00A06359" w:rsidP="00E16809">
            <w:pPr>
              <w:jc w:val="right"/>
              <w:rPr>
                <w:lang w:val="en-GB"/>
              </w:rPr>
            </w:pPr>
            <w:r w:rsidRPr="00044E23">
              <w:rPr>
                <w:lang w:val="en-GB"/>
              </w:rPr>
              <w:t>499,912,500</w:t>
            </w:r>
          </w:p>
        </w:tc>
      </w:tr>
      <w:tr w:rsidR="008A5D63" w:rsidRPr="00044E23" w:rsidTr="00E16809">
        <w:tc>
          <w:tcPr>
            <w:tcW w:w="407" w:type="dxa"/>
          </w:tcPr>
          <w:p w:rsidR="008A5D63" w:rsidRPr="00044E23" w:rsidRDefault="008A5D63" w:rsidP="00E16809">
            <w:pPr>
              <w:jc w:val="right"/>
              <w:rPr>
                <w:lang w:val="en-GB"/>
              </w:rPr>
            </w:pPr>
            <w:r w:rsidRPr="00044E23">
              <w:rPr>
                <w:lang w:val="en-GB"/>
              </w:rPr>
              <w:t>31.</w:t>
            </w:r>
          </w:p>
        </w:tc>
        <w:tc>
          <w:tcPr>
            <w:tcW w:w="4526" w:type="dxa"/>
          </w:tcPr>
          <w:p w:rsidR="008A5D63" w:rsidRPr="00044E23" w:rsidRDefault="008A5D63" w:rsidP="00E16809">
            <w:pPr>
              <w:rPr>
                <w:lang w:val="en-GB"/>
              </w:rPr>
            </w:pPr>
            <w:r w:rsidRPr="00044E23">
              <w:rPr>
                <w:lang w:val="en-GB"/>
              </w:rPr>
              <w:t>Documentation of personal data breach</w:t>
            </w:r>
          </w:p>
        </w:tc>
        <w:tc>
          <w:tcPr>
            <w:tcW w:w="284" w:type="dxa"/>
            <w:tcBorders>
              <w:right w:val="nil"/>
            </w:tcBorders>
          </w:tcPr>
          <w:p w:rsidR="008A5D63" w:rsidRPr="00044E23" w:rsidRDefault="008A5D63" w:rsidP="006C7615">
            <w:pPr>
              <w:jc w:val="left"/>
              <w:rPr>
                <w:lang w:val="en-GB"/>
              </w:rPr>
            </w:pPr>
            <w:r w:rsidRPr="00044E23">
              <w:rPr>
                <w:lang w:val="en-GB"/>
              </w:rPr>
              <w:t>€</w:t>
            </w:r>
          </w:p>
        </w:tc>
        <w:tc>
          <w:tcPr>
            <w:tcW w:w="1417" w:type="dxa"/>
            <w:tcBorders>
              <w:top w:val="single" w:sz="4" w:space="0" w:color="A6A6A6" w:themeColor="background1" w:themeShade="A6"/>
              <w:left w:val="nil"/>
              <w:bottom w:val="single" w:sz="4" w:space="0" w:color="A6A6A6" w:themeColor="background1" w:themeShade="A6"/>
            </w:tcBorders>
          </w:tcPr>
          <w:p w:rsidR="008A5D63" w:rsidRPr="00044E23" w:rsidRDefault="00F3013D" w:rsidP="00E16809">
            <w:pPr>
              <w:jc w:val="right"/>
              <w:rPr>
                <w:lang w:val="en-GB"/>
              </w:rPr>
            </w:pPr>
            <w:r w:rsidRPr="00044E23">
              <w:rPr>
                <w:lang w:val="en-GB"/>
              </w:rPr>
              <w:t>982,500</w:t>
            </w:r>
          </w:p>
        </w:tc>
        <w:tc>
          <w:tcPr>
            <w:tcW w:w="284" w:type="dxa"/>
            <w:tcBorders>
              <w:top w:val="single" w:sz="4" w:space="0" w:color="A6A6A6" w:themeColor="background1" w:themeShade="A6"/>
              <w:bottom w:val="single" w:sz="4" w:space="0" w:color="A6A6A6" w:themeColor="background1" w:themeShade="A6"/>
              <w:right w:val="nil"/>
            </w:tcBorders>
          </w:tcPr>
          <w:p w:rsidR="008A5D63" w:rsidRPr="00044E23" w:rsidRDefault="008A5D63" w:rsidP="006C7615">
            <w:pPr>
              <w:jc w:val="left"/>
              <w:rPr>
                <w:lang w:val="en-GB"/>
              </w:rPr>
            </w:pPr>
            <w:r w:rsidRPr="00044E23">
              <w:rPr>
                <w:lang w:val="en-GB"/>
              </w:rPr>
              <w:t>€</w:t>
            </w:r>
          </w:p>
        </w:tc>
        <w:tc>
          <w:tcPr>
            <w:tcW w:w="1472" w:type="dxa"/>
            <w:tcBorders>
              <w:left w:val="nil"/>
            </w:tcBorders>
          </w:tcPr>
          <w:p w:rsidR="008A5D63" w:rsidRPr="00044E23" w:rsidRDefault="00F3013D" w:rsidP="00E16809">
            <w:pPr>
              <w:jc w:val="right"/>
              <w:rPr>
                <w:lang w:val="en-GB"/>
              </w:rPr>
            </w:pPr>
            <w:r w:rsidRPr="00044E23">
              <w:rPr>
                <w:lang w:val="en-GB"/>
              </w:rPr>
              <w:t>982,500</w:t>
            </w:r>
          </w:p>
        </w:tc>
      </w:tr>
      <w:tr w:rsidR="008A5D63" w:rsidRPr="00044E23" w:rsidTr="00E16809">
        <w:tc>
          <w:tcPr>
            <w:tcW w:w="407" w:type="dxa"/>
          </w:tcPr>
          <w:p w:rsidR="008A5D63" w:rsidRPr="00044E23" w:rsidRDefault="008A5D63" w:rsidP="00E16809">
            <w:pPr>
              <w:jc w:val="right"/>
              <w:rPr>
                <w:lang w:val="en-GB"/>
              </w:rPr>
            </w:pPr>
            <w:r w:rsidRPr="00044E23">
              <w:rPr>
                <w:lang w:val="en-GB"/>
              </w:rPr>
              <w:t>32.</w:t>
            </w:r>
          </w:p>
        </w:tc>
        <w:tc>
          <w:tcPr>
            <w:tcW w:w="4526" w:type="dxa"/>
          </w:tcPr>
          <w:p w:rsidR="008A5D63" w:rsidRPr="00044E23" w:rsidRDefault="008A5D63" w:rsidP="00E16809">
            <w:pPr>
              <w:rPr>
                <w:lang w:val="en-GB"/>
              </w:rPr>
            </w:pPr>
            <w:r w:rsidRPr="00044E23">
              <w:rPr>
                <w:lang w:val="en-GB"/>
              </w:rPr>
              <w:t>Communication of a personal data breach to the data subject</w:t>
            </w:r>
          </w:p>
        </w:tc>
        <w:tc>
          <w:tcPr>
            <w:tcW w:w="284" w:type="dxa"/>
            <w:tcBorders>
              <w:right w:val="nil"/>
            </w:tcBorders>
          </w:tcPr>
          <w:p w:rsidR="008A5D63" w:rsidRPr="00044E23" w:rsidRDefault="008A5D63" w:rsidP="006C7615">
            <w:pPr>
              <w:jc w:val="left"/>
              <w:rPr>
                <w:lang w:val="en-GB"/>
              </w:rPr>
            </w:pPr>
            <w:r w:rsidRPr="00044E23">
              <w:rPr>
                <w:lang w:val="en-GB"/>
              </w:rPr>
              <w:t>€</w:t>
            </w:r>
          </w:p>
        </w:tc>
        <w:tc>
          <w:tcPr>
            <w:tcW w:w="1417" w:type="dxa"/>
            <w:tcBorders>
              <w:top w:val="single" w:sz="4" w:space="0" w:color="A6A6A6" w:themeColor="background1" w:themeShade="A6"/>
              <w:left w:val="nil"/>
              <w:bottom w:val="single" w:sz="4" w:space="0" w:color="A6A6A6" w:themeColor="background1" w:themeShade="A6"/>
            </w:tcBorders>
          </w:tcPr>
          <w:p w:rsidR="008A5D63" w:rsidRPr="00044E23" w:rsidRDefault="00F3013D" w:rsidP="00E16809">
            <w:pPr>
              <w:jc w:val="right"/>
              <w:rPr>
                <w:lang w:val="en-GB"/>
              </w:rPr>
            </w:pPr>
            <w:r w:rsidRPr="00044E23">
              <w:rPr>
                <w:lang w:val="en-GB"/>
              </w:rPr>
              <w:t>388,875</w:t>
            </w:r>
          </w:p>
        </w:tc>
        <w:tc>
          <w:tcPr>
            <w:tcW w:w="284" w:type="dxa"/>
            <w:tcBorders>
              <w:top w:val="single" w:sz="4" w:space="0" w:color="A6A6A6" w:themeColor="background1" w:themeShade="A6"/>
              <w:bottom w:val="single" w:sz="4" w:space="0" w:color="A6A6A6" w:themeColor="background1" w:themeShade="A6"/>
              <w:right w:val="nil"/>
            </w:tcBorders>
          </w:tcPr>
          <w:p w:rsidR="008A5D63" w:rsidRPr="00044E23" w:rsidRDefault="008A5D63" w:rsidP="006C7615">
            <w:pPr>
              <w:jc w:val="left"/>
              <w:rPr>
                <w:lang w:val="en-GB"/>
              </w:rPr>
            </w:pPr>
            <w:r w:rsidRPr="00044E23">
              <w:rPr>
                <w:lang w:val="en-GB"/>
              </w:rPr>
              <w:t>€</w:t>
            </w:r>
          </w:p>
        </w:tc>
        <w:tc>
          <w:tcPr>
            <w:tcW w:w="1472" w:type="dxa"/>
            <w:tcBorders>
              <w:left w:val="nil"/>
            </w:tcBorders>
          </w:tcPr>
          <w:p w:rsidR="008A5D63" w:rsidRPr="00044E23" w:rsidRDefault="00F3013D" w:rsidP="00E16809">
            <w:pPr>
              <w:jc w:val="right"/>
              <w:rPr>
                <w:lang w:val="en-GB"/>
              </w:rPr>
            </w:pPr>
            <w:r w:rsidRPr="00044E23">
              <w:rPr>
                <w:lang w:val="en-GB"/>
              </w:rPr>
              <w:t>388,875</w:t>
            </w:r>
          </w:p>
        </w:tc>
      </w:tr>
      <w:tr w:rsidR="005B6E4F" w:rsidRPr="00044E23" w:rsidTr="00C642BA">
        <w:tc>
          <w:tcPr>
            <w:tcW w:w="407" w:type="dxa"/>
          </w:tcPr>
          <w:p w:rsidR="005B6E4F" w:rsidRPr="00044E23" w:rsidRDefault="00517F3A" w:rsidP="00E44DCD">
            <w:pPr>
              <w:jc w:val="right"/>
              <w:rPr>
                <w:lang w:val="en-GB"/>
              </w:rPr>
            </w:pPr>
            <w:r w:rsidRPr="00044E23">
              <w:rPr>
                <w:lang w:val="en-GB"/>
              </w:rPr>
              <w:t>33.</w:t>
            </w:r>
          </w:p>
        </w:tc>
        <w:tc>
          <w:tcPr>
            <w:tcW w:w="4526" w:type="dxa"/>
          </w:tcPr>
          <w:p w:rsidR="005B6E4F" w:rsidRPr="00044E23" w:rsidRDefault="00517F3A" w:rsidP="003162EC">
            <w:pPr>
              <w:rPr>
                <w:lang w:val="en-GB"/>
              </w:rPr>
            </w:pPr>
            <w:r w:rsidRPr="00044E23">
              <w:rPr>
                <w:lang w:val="en-GB"/>
              </w:rPr>
              <w:t>Data protection impact assessment</w:t>
            </w:r>
          </w:p>
        </w:tc>
        <w:tc>
          <w:tcPr>
            <w:tcW w:w="284" w:type="dxa"/>
            <w:tcBorders>
              <w:right w:val="nil"/>
            </w:tcBorders>
          </w:tcPr>
          <w:p w:rsidR="005B6E4F" w:rsidRPr="00044E23" w:rsidRDefault="005B6E4F" w:rsidP="006C7615">
            <w:pPr>
              <w:jc w:val="left"/>
              <w:rPr>
                <w:lang w:val="en-GB"/>
              </w:rPr>
            </w:pPr>
            <w:r w:rsidRPr="00044E23">
              <w:rPr>
                <w:lang w:val="en-GB"/>
              </w:rPr>
              <w:t>€</w:t>
            </w:r>
          </w:p>
        </w:tc>
        <w:tc>
          <w:tcPr>
            <w:tcW w:w="1417" w:type="dxa"/>
            <w:tcBorders>
              <w:top w:val="single" w:sz="4" w:space="0" w:color="A6A6A6" w:themeColor="background1" w:themeShade="A6"/>
              <w:left w:val="nil"/>
              <w:bottom w:val="single" w:sz="4" w:space="0" w:color="A6A6A6" w:themeColor="background1" w:themeShade="A6"/>
            </w:tcBorders>
          </w:tcPr>
          <w:p w:rsidR="005B6E4F" w:rsidRPr="00044E23" w:rsidRDefault="00F3013D" w:rsidP="003162EC">
            <w:pPr>
              <w:jc w:val="right"/>
              <w:rPr>
                <w:lang w:val="en-GB"/>
              </w:rPr>
            </w:pPr>
            <w:r w:rsidRPr="00044E23">
              <w:rPr>
                <w:lang w:val="en-GB"/>
              </w:rPr>
              <w:t>471,612,500</w:t>
            </w:r>
          </w:p>
        </w:tc>
        <w:tc>
          <w:tcPr>
            <w:tcW w:w="284" w:type="dxa"/>
            <w:tcBorders>
              <w:top w:val="single" w:sz="4" w:space="0" w:color="A6A6A6" w:themeColor="background1" w:themeShade="A6"/>
              <w:bottom w:val="single" w:sz="4" w:space="0" w:color="A6A6A6" w:themeColor="background1" w:themeShade="A6"/>
              <w:right w:val="nil"/>
            </w:tcBorders>
          </w:tcPr>
          <w:p w:rsidR="005B6E4F" w:rsidRPr="00044E23" w:rsidRDefault="005B6E4F" w:rsidP="006C7615">
            <w:pPr>
              <w:jc w:val="left"/>
              <w:rPr>
                <w:lang w:val="en-GB"/>
              </w:rPr>
            </w:pPr>
            <w:r w:rsidRPr="00044E23">
              <w:rPr>
                <w:lang w:val="en-GB"/>
              </w:rPr>
              <w:t>€</w:t>
            </w:r>
          </w:p>
        </w:tc>
        <w:tc>
          <w:tcPr>
            <w:tcW w:w="1472" w:type="dxa"/>
            <w:tcBorders>
              <w:left w:val="nil"/>
            </w:tcBorders>
          </w:tcPr>
          <w:p w:rsidR="005B6E4F" w:rsidRPr="00044E23" w:rsidRDefault="00F3013D" w:rsidP="003162EC">
            <w:pPr>
              <w:jc w:val="right"/>
              <w:rPr>
                <w:lang w:val="en-GB"/>
              </w:rPr>
            </w:pPr>
            <w:r w:rsidRPr="00044E23">
              <w:rPr>
                <w:lang w:val="en-GB"/>
              </w:rPr>
              <w:t>471,612,500</w:t>
            </w:r>
          </w:p>
        </w:tc>
      </w:tr>
      <w:tr w:rsidR="008A5D63" w:rsidRPr="00044E23" w:rsidTr="00E16809">
        <w:tc>
          <w:tcPr>
            <w:tcW w:w="407" w:type="dxa"/>
          </w:tcPr>
          <w:p w:rsidR="008A5D63" w:rsidRPr="00044E23" w:rsidRDefault="008A5D63" w:rsidP="00E16809">
            <w:pPr>
              <w:jc w:val="right"/>
              <w:rPr>
                <w:lang w:val="en-GB"/>
              </w:rPr>
            </w:pPr>
            <w:r w:rsidRPr="00044E23">
              <w:rPr>
                <w:lang w:val="en-GB"/>
              </w:rPr>
              <w:t>34.</w:t>
            </w:r>
          </w:p>
        </w:tc>
        <w:tc>
          <w:tcPr>
            <w:tcW w:w="4526" w:type="dxa"/>
          </w:tcPr>
          <w:p w:rsidR="008A5D63" w:rsidRPr="00044E23" w:rsidRDefault="008A5D63" w:rsidP="00E16809">
            <w:pPr>
              <w:rPr>
                <w:lang w:val="en-GB"/>
              </w:rPr>
            </w:pPr>
            <w:r w:rsidRPr="00044E23">
              <w:rPr>
                <w:lang w:val="en-GB"/>
              </w:rPr>
              <w:t>Cooperate with supervision by the supervisory authority</w:t>
            </w:r>
          </w:p>
        </w:tc>
        <w:tc>
          <w:tcPr>
            <w:tcW w:w="284" w:type="dxa"/>
            <w:tcBorders>
              <w:right w:val="nil"/>
            </w:tcBorders>
          </w:tcPr>
          <w:p w:rsidR="008A5D63" w:rsidRPr="00044E23" w:rsidRDefault="008A5D63" w:rsidP="006C7615">
            <w:pPr>
              <w:jc w:val="left"/>
              <w:rPr>
                <w:lang w:val="en-GB"/>
              </w:rPr>
            </w:pPr>
            <w:r w:rsidRPr="00044E23">
              <w:rPr>
                <w:lang w:val="en-GB"/>
              </w:rPr>
              <w:t>€</w:t>
            </w:r>
          </w:p>
        </w:tc>
        <w:tc>
          <w:tcPr>
            <w:tcW w:w="1417" w:type="dxa"/>
            <w:tcBorders>
              <w:top w:val="single" w:sz="4" w:space="0" w:color="A6A6A6" w:themeColor="background1" w:themeShade="A6"/>
              <w:left w:val="nil"/>
              <w:bottom w:val="single" w:sz="4" w:space="0" w:color="A6A6A6" w:themeColor="background1" w:themeShade="A6"/>
            </w:tcBorders>
          </w:tcPr>
          <w:p w:rsidR="008A5D63" w:rsidRPr="00044E23" w:rsidRDefault="00F3013D" w:rsidP="00E16809">
            <w:pPr>
              <w:jc w:val="right"/>
              <w:rPr>
                <w:lang w:val="en-GB"/>
              </w:rPr>
            </w:pPr>
            <w:r w:rsidRPr="00044E23">
              <w:rPr>
                <w:lang w:val="en-GB"/>
              </w:rPr>
              <w:t>20,438</w:t>
            </w:r>
          </w:p>
        </w:tc>
        <w:tc>
          <w:tcPr>
            <w:tcW w:w="284" w:type="dxa"/>
            <w:tcBorders>
              <w:top w:val="single" w:sz="4" w:space="0" w:color="A6A6A6" w:themeColor="background1" w:themeShade="A6"/>
              <w:bottom w:val="single" w:sz="4" w:space="0" w:color="A6A6A6" w:themeColor="background1" w:themeShade="A6"/>
              <w:right w:val="nil"/>
            </w:tcBorders>
          </w:tcPr>
          <w:p w:rsidR="008A5D63" w:rsidRPr="00044E23" w:rsidRDefault="008A5D63" w:rsidP="006C7615">
            <w:pPr>
              <w:jc w:val="left"/>
              <w:rPr>
                <w:lang w:val="en-GB"/>
              </w:rPr>
            </w:pPr>
            <w:r w:rsidRPr="00044E23">
              <w:rPr>
                <w:lang w:val="en-GB"/>
              </w:rPr>
              <w:t>€</w:t>
            </w:r>
          </w:p>
        </w:tc>
        <w:tc>
          <w:tcPr>
            <w:tcW w:w="1472" w:type="dxa"/>
            <w:tcBorders>
              <w:left w:val="nil"/>
            </w:tcBorders>
          </w:tcPr>
          <w:p w:rsidR="008A5D63" w:rsidRPr="00044E23" w:rsidRDefault="00F3013D" w:rsidP="00E16809">
            <w:pPr>
              <w:jc w:val="right"/>
              <w:rPr>
                <w:lang w:val="en-GB"/>
              </w:rPr>
            </w:pPr>
            <w:r w:rsidRPr="00044E23">
              <w:rPr>
                <w:lang w:val="en-GB"/>
              </w:rPr>
              <w:t>20,438</w:t>
            </w:r>
          </w:p>
        </w:tc>
      </w:tr>
      <w:tr w:rsidR="00AD06FC" w:rsidRPr="00044E23" w:rsidTr="00C642BA">
        <w:tc>
          <w:tcPr>
            <w:tcW w:w="407" w:type="dxa"/>
          </w:tcPr>
          <w:p w:rsidR="00AD06FC" w:rsidRPr="00044E23" w:rsidRDefault="00517F3A" w:rsidP="00E44DCD">
            <w:pPr>
              <w:jc w:val="right"/>
              <w:rPr>
                <w:lang w:val="en-GB"/>
              </w:rPr>
            </w:pPr>
            <w:r w:rsidRPr="00044E23">
              <w:rPr>
                <w:lang w:val="en-GB"/>
              </w:rPr>
              <w:t>35.</w:t>
            </w:r>
          </w:p>
        </w:tc>
        <w:tc>
          <w:tcPr>
            <w:tcW w:w="4526" w:type="dxa"/>
          </w:tcPr>
          <w:p w:rsidR="00AD06FC" w:rsidRPr="00044E23" w:rsidRDefault="00517F3A" w:rsidP="003162EC">
            <w:pPr>
              <w:rPr>
                <w:lang w:val="en-GB"/>
              </w:rPr>
            </w:pPr>
            <w:r w:rsidRPr="00044E23">
              <w:rPr>
                <w:lang w:val="en-GB"/>
              </w:rPr>
              <w:t>Designation of a data protection officer</w:t>
            </w:r>
          </w:p>
        </w:tc>
        <w:tc>
          <w:tcPr>
            <w:tcW w:w="284" w:type="dxa"/>
            <w:tcBorders>
              <w:right w:val="nil"/>
            </w:tcBorders>
          </w:tcPr>
          <w:p w:rsidR="00AD06FC" w:rsidRPr="00044E23" w:rsidRDefault="00AD06FC" w:rsidP="006C7615">
            <w:pPr>
              <w:jc w:val="left"/>
              <w:rPr>
                <w:lang w:val="en-GB"/>
              </w:rPr>
            </w:pPr>
            <w:r w:rsidRPr="00044E23">
              <w:rPr>
                <w:lang w:val="en-GB"/>
              </w:rPr>
              <w:t>€</w:t>
            </w:r>
          </w:p>
        </w:tc>
        <w:tc>
          <w:tcPr>
            <w:tcW w:w="1417" w:type="dxa"/>
            <w:tcBorders>
              <w:top w:val="single" w:sz="4" w:space="0" w:color="A6A6A6" w:themeColor="background1" w:themeShade="A6"/>
              <w:left w:val="nil"/>
              <w:bottom w:val="single" w:sz="4" w:space="0" w:color="A6A6A6" w:themeColor="background1" w:themeShade="A6"/>
            </w:tcBorders>
          </w:tcPr>
          <w:p w:rsidR="00AD06FC" w:rsidRPr="00044E23" w:rsidRDefault="00F3013D" w:rsidP="003162EC">
            <w:pPr>
              <w:jc w:val="right"/>
              <w:rPr>
                <w:lang w:val="en-GB"/>
              </w:rPr>
            </w:pPr>
            <w:r w:rsidRPr="00044E23">
              <w:rPr>
                <w:lang w:val="en-GB"/>
              </w:rPr>
              <w:t>336,935,000</w:t>
            </w:r>
          </w:p>
        </w:tc>
        <w:tc>
          <w:tcPr>
            <w:tcW w:w="284" w:type="dxa"/>
            <w:tcBorders>
              <w:top w:val="single" w:sz="4" w:space="0" w:color="A6A6A6" w:themeColor="background1" w:themeShade="A6"/>
              <w:bottom w:val="single" w:sz="4" w:space="0" w:color="A6A6A6" w:themeColor="background1" w:themeShade="A6"/>
              <w:right w:val="nil"/>
            </w:tcBorders>
          </w:tcPr>
          <w:p w:rsidR="00AD06FC" w:rsidRPr="00044E23" w:rsidRDefault="00AD06FC" w:rsidP="006C7615">
            <w:pPr>
              <w:jc w:val="left"/>
              <w:rPr>
                <w:lang w:val="en-GB"/>
              </w:rPr>
            </w:pPr>
            <w:r w:rsidRPr="00044E23">
              <w:rPr>
                <w:lang w:val="en-GB"/>
              </w:rPr>
              <w:t>€</w:t>
            </w:r>
          </w:p>
        </w:tc>
        <w:tc>
          <w:tcPr>
            <w:tcW w:w="1472" w:type="dxa"/>
            <w:tcBorders>
              <w:left w:val="nil"/>
            </w:tcBorders>
          </w:tcPr>
          <w:p w:rsidR="00AD06FC" w:rsidRPr="00044E23" w:rsidRDefault="00F3013D" w:rsidP="003162EC">
            <w:pPr>
              <w:jc w:val="right"/>
              <w:rPr>
                <w:lang w:val="en-GB"/>
              </w:rPr>
            </w:pPr>
            <w:r w:rsidRPr="00044E23">
              <w:rPr>
                <w:lang w:val="en-GB"/>
              </w:rPr>
              <w:t>336,935,000</w:t>
            </w:r>
          </w:p>
        </w:tc>
      </w:tr>
      <w:tr w:rsidR="00517F3A" w:rsidRPr="00044E23" w:rsidTr="00C642BA">
        <w:tc>
          <w:tcPr>
            <w:tcW w:w="4933" w:type="dxa"/>
            <w:gridSpan w:val="2"/>
            <w:tcBorders>
              <w:top w:val="single" w:sz="4" w:space="0" w:color="auto"/>
              <w:bottom w:val="single" w:sz="4" w:space="0" w:color="000000" w:themeColor="text1"/>
            </w:tcBorders>
          </w:tcPr>
          <w:p w:rsidR="00517F3A" w:rsidRPr="00044E23" w:rsidRDefault="00517F3A" w:rsidP="000D1370">
            <w:pPr>
              <w:jc w:val="left"/>
              <w:rPr>
                <w:b/>
                <w:lang w:val="en-GB"/>
              </w:rPr>
            </w:pPr>
            <w:r w:rsidRPr="00044E23">
              <w:rPr>
                <w:b/>
                <w:lang w:val="en-GB"/>
              </w:rPr>
              <w:t>Total</w:t>
            </w:r>
          </w:p>
        </w:tc>
        <w:tc>
          <w:tcPr>
            <w:tcW w:w="284" w:type="dxa"/>
            <w:tcBorders>
              <w:top w:val="single" w:sz="4" w:space="0" w:color="auto"/>
              <w:bottom w:val="single" w:sz="4" w:space="0" w:color="000000" w:themeColor="text1"/>
              <w:right w:val="nil"/>
            </w:tcBorders>
          </w:tcPr>
          <w:p w:rsidR="00517F3A" w:rsidRPr="00044E23" w:rsidRDefault="00517F3A" w:rsidP="006C7615">
            <w:pPr>
              <w:jc w:val="left"/>
              <w:rPr>
                <w:b/>
                <w:lang w:val="en-GB"/>
              </w:rPr>
            </w:pPr>
            <w:r w:rsidRPr="00044E23">
              <w:rPr>
                <w:b/>
                <w:lang w:val="en-GB"/>
              </w:rPr>
              <w:t>€</w:t>
            </w:r>
          </w:p>
        </w:tc>
        <w:tc>
          <w:tcPr>
            <w:tcW w:w="1417" w:type="dxa"/>
            <w:tcBorders>
              <w:top w:val="single" w:sz="4" w:space="0" w:color="auto"/>
              <w:left w:val="nil"/>
              <w:bottom w:val="single" w:sz="4" w:space="0" w:color="000000" w:themeColor="text1"/>
            </w:tcBorders>
          </w:tcPr>
          <w:p w:rsidR="00517F3A" w:rsidRPr="00044E23" w:rsidRDefault="00F3013D" w:rsidP="003162EC">
            <w:pPr>
              <w:jc w:val="right"/>
              <w:rPr>
                <w:b/>
                <w:lang w:val="en-GB"/>
              </w:rPr>
            </w:pPr>
            <w:r w:rsidRPr="00044E23">
              <w:rPr>
                <w:b/>
                <w:lang w:val="en-GB"/>
              </w:rPr>
              <w:t>1,123,998,948</w:t>
            </w:r>
          </w:p>
        </w:tc>
        <w:tc>
          <w:tcPr>
            <w:tcW w:w="284" w:type="dxa"/>
            <w:tcBorders>
              <w:top w:val="single" w:sz="4" w:space="0" w:color="auto"/>
              <w:bottom w:val="single" w:sz="4" w:space="0" w:color="000000" w:themeColor="text1"/>
              <w:right w:val="nil"/>
            </w:tcBorders>
          </w:tcPr>
          <w:p w:rsidR="00517F3A" w:rsidRPr="00044E23" w:rsidRDefault="00517F3A" w:rsidP="006C7615">
            <w:pPr>
              <w:jc w:val="left"/>
              <w:rPr>
                <w:b/>
                <w:lang w:val="en-GB"/>
              </w:rPr>
            </w:pPr>
            <w:r w:rsidRPr="00044E23">
              <w:rPr>
                <w:b/>
                <w:lang w:val="en-GB"/>
              </w:rPr>
              <w:t>€</w:t>
            </w:r>
          </w:p>
        </w:tc>
        <w:tc>
          <w:tcPr>
            <w:tcW w:w="1472" w:type="dxa"/>
            <w:tcBorders>
              <w:top w:val="single" w:sz="4" w:space="0" w:color="auto"/>
              <w:left w:val="nil"/>
              <w:bottom w:val="single" w:sz="4" w:space="0" w:color="000000" w:themeColor="text1"/>
            </w:tcBorders>
          </w:tcPr>
          <w:p w:rsidR="00517F3A" w:rsidRPr="00044E23" w:rsidRDefault="00F3013D" w:rsidP="003162EC">
            <w:pPr>
              <w:jc w:val="right"/>
              <w:rPr>
                <w:b/>
                <w:lang w:val="en-GB"/>
              </w:rPr>
            </w:pPr>
            <w:r w:rsidRPr="00044E23">
              <w:rPr>
                <w:b/>
                <w:lang w:val="en-GB"/>
              </w:rPr>
              <w:t>1,467,573,948</w:t>
            </w:r>
          </w:p>
        </w:tc>
      </w:tr>
    </w:tbl>
    <w:p w:rsidR="00895B9A" w:rsidRPr="00044E23" w:rsidRDefault="00895B9A" w:rsidP="00895B9A">
      <w:pPr>
        <w:rPr>
          <w:lang w:val="en-GB"/>
        </w:rPr>
      </w:pPr>
    </w:p>
    <w:p w:rsidR="000D1370" w:rsidRPr="00044E23" w:rsidRDefault="000D1370" w:rsidP="000D1370">
      <w:pPr>
        <w:pStyle w:val="Beschriftung"/>
        <w:rPr>
          <w:lang w:val="en-GB"/>
        </w:rPr>
      </w:pPr>
      <w:r w:rsidRPr="00044E23">
        <w:rPr>
          <w:b/>
          <w:lang w:val="en-GB"/>
        </w:rPr>
        <w:t xml:space="preserve">Table </w:t>
      </w:r>
      <w:r w:rsidR="00772565" w:rsidRPr="00044E23">
        <w:rPr>
          <w:b/>
          <w:lang w:val="en-GB"/>
        </w:rPr>
        <w:fldChar w:fldCharType="begin"/>
      </w:r>
      <w:r w:rsidRPr="00044E23">
        <w:rPr>
          <w:b/>
          <w:lang w:val="en-GB"/>
        </w:rPr>
        <w:instrText xml:space="preserve"> SEQ Tabel \* ARABIC </w:instrText>
      </w:r>
      <w:r w:rsidR="00772565" w:rsidRPr="00044E23">
        <w:rPr>
          <w:b/>
          <w:lang w:val="en-GB"/>
        </w:rPr>
        <w:fldChar w:fldCharType="separate"/>
      </w:r>
      <w:r w:rsidR="00DE1A7B" w:rsidRPr="00044E23">
        <w:rPr>
          <w:b/>
          <w:lang w:val="en-GB"/>
        </w:rPr>
        <w:t>6</w:t>
      </w:r>
      <w:r w:rsidR="00772565" w:rsidRPr="00044E23">
        <w:rPr>
          <w:b/>
          <w:lang w:val="en-GB"/>
        </w:rPr>
        <w:fldChar w:fldCharType="end"/>
      </w:r>
      <w:r w:rsidRPr="00044E23">
        <w:rPr>
          <w:b/>
          <w:lang w:val="en-GB"/>
        </w:rPr>
        <w:t xml:space="preserve">. </w:t>
      </w:r>
      <w:r w:rsidR="00D96C66" w:rsidRPr="00044E23">
        <w:rPr>
          <w:lang w:val="en-GB"/>
        </w:rPr>
        <w:t>CC resulting from the Dutch Data Protection Act</w:t>
      </w:r>
    </w:p>
    <w:tbl>
      <w:tblPr>
        <w:tblStyle w:val="SIRAStandaardtabel"/>
        <w:tblW w:w="0" w:type="auto"/>
        <w:tblLook w:val="04A0" w:firstRow="1" w:lastRow="0" w:firstColumn="1" w:lastColumn="0" w:noHBand="0" w:noVBand="1"/>
      </w:tblPr>
      <w:tblGrid>
        <w:gridCol w:w="406"/>
        <w:gridCol w:w="6228"/>
        <w:gridCol w:w="284"/>
        <w:gridCol w:w="1472"/>
      </w:tblGrid>
      <w:tr w:rsidR="00A054FC" w:rsidRPr="00044E23" w:rsidTr="00445E76">
        <w:trPr>
          <w:cnfStyle w:val="100000000000" w:firstRow="1" w:lastRow="0" w:firstColumn="0" w:lastColumn="0" w:oddVBand="0" w:evenVBand="0" w:oddHBand="0" w:evenHBand="0" w:firstRowFirstColumn="0" w:firstRowLastColumn="0" w:lastRowFirstColumn="0" w:lastRowLastColumn="0"/>
        </w:trPr>
        <w:tc>
          <w:tcPr>
            <w:tcW w:w="406" w:type="dxa"/>
          </w:tcPr>
          <w:p w:rsidR="00A054FC" w:rsidRPr="00044E23" w:rsidRDefault="00A054FC" w:rsidP="00445E76">
            <w:pPr>
              <w:jc w:val="right"/>
              <w:rPr>
                <w:lang w:val="en-GB"/>
              </w:rPr>
            </w:pPr>
            <w:r w:rsidRPr="00044E23">
              <w:rPr>
                <w:lang w:val="en-GB"/>
              </w:rPr>
              <w:t>Art.</w:t>
            </w:r>
          </w:p>
        </w:tc>
        <w:tc>
          <w:tcPr>
            <w:tcW w:w="6228" w:type="dxa"/>
          </w:tcPr>
          <w:p w:rsidR="00A054FC" w:rsidRPr="00044E23" w:rsidRDefault="00A054FC" w:rsidP="003162EC">
            <w:pPr>
              <w:rPr>
                <w:b w:val="0"/>
                <w:lang w:val="en-GB"/>
              </w:rPr>
            </w:pPr>
            <w:r w:rsidRPr="00044E23">
              <w:rPr>
                <w:lang w:val="en-GB"/>
              </w:rPr>
              <w:t>Obligation</w:t>
            </w:r>
          </w:p>
        </w:tc>
        <w:tc>
          <w:tcPr>
            <w:tcW w:w="284" w:type="dxa"/>
          </w:tcPr>
          <w:p w:rsidR="00A054FC" w:rsidRPr="00044E23" w:rsidRDefault="00A054FC" w:rsidP="003162EC">
            <w:pPr>
              <w:rPr>
                <w:lang w:val="en-GB"/>
              </w:rPr>
            </w:pPr>
          </w:p>
        </w:tc>
        <w:tc>
          <w:tcPr>
            <w:tcW w:w="1472" w:type="dxa"/>
          </w:tcPr>
          <w:p w:rsidR="00A054FC" w:rsidRPr="00044E23" w:rsidRDefault="00A054FC" w:rsidP="00445E76">
            <w:pPr>
              <w:jc w:val="right"/>
              <w:rPr>
                <w:b w:val="0"/>
                <w:lang w:val="en-GB"/>
              </w:rPr>
            </w:pPr>
            <w:r w:rsidRPr="00044E23">
              <w:rPr>
                <w:lang w:val="en-GB"/>
              </w:rPr>
              <w:t>Costs</w:t>
            </w:r>
          </w:p>
        </w:tc>
      </w:tr>
      <w:tr w:rsidR="00A054FC" w:rsidRPr="00044E23" w:rsidTr="00445E76">
        <w:tc>
          <w:tcPr>
            <w:tcW w:w="406" w:type="dxa"/>
          </w:tcPr>
          <w:p w:rsidR="00A054FC" w:rsidRPr="00044E23" w:rsidRDefault="00445E76" w:rsidP="00445E76">
            <w:pPr>
              <w:jc w:val="right"/>
              <w:rPr>
                <w:lang w:val="en-GB"/>
              </w:rPr>
            </w:pPr>
            <w:r w:rsidRPr="00044E23">
              <w:rPr>
                <w:lang w:val="en-GB"/>
              </w:rPr>
              <w:t>14.</w:t>
            </w:r>
          </w:p>
        </w:tc>
        <w:tc>
          <w:tcPr>
            <w:tcW w:w="6228" w:type="dxa"/>
          </w:tcPr>
          <w:p w:rsidR="00A054FC" w:rsidRPr="00044E23" w:rsidRDefault="00445E76" w:rsidP="00445E76">
            <w:pPr>
              <w:jc w:val="left"/>
              <w:rPr>
                <w:lang w:val="en-GB"/>
              </w:rPr>
            </w:pPr>
            <w:r w:rsidRPr="00044E23">
              <w:rPr>
                <w:lang w:val="en-GB"/>
              </w:rPr>
              <w:t>Make a contract/legal transaction with the data processor</w:t>
            </w:r>
          </w:p>
        </w:tc>
        <w:tc>
          <w:tcPr>
            <w:tcW w:w="284" w:type="dxa"/>
            <w:tcBorders>
              <w:right w:val="nil"/>
            </w:tcBorders>
          </w:tcPr>
          <w:p w:rsidR="00A054FC" w:rsidRPr="00044E23" w:rsidRDefault="00A054FC" w:rsidP="006C7615">
            <w:pPr>
              <w:jc w:val="left"/>
              <w:rPr>
                <w:lang w:val="en-GB"/>
              </w:rPr>
            </w:pPr>
            <w:r w:rsidRPr="00044E23">
              <w:rPr>
                <w:lang w:val="en-GB"/>
              </w:rPr>
              <w:t>€</w:t>
            </w:r>
          </w:p>
        </w:tc>
        <w:tc>
          <w:tcPr>
            <w:tcW w:w="1472" w:type="dxa"/>
            <w:tcBorders>
              <w:top w:val="single" w:sz="4" w:space="0" w:color="auto"/>
              <w:left w:val="nil"/>
            </w:tcBorders>
          </w:tcPr>
          <w:p w:rsidR="00A054FC" w:rsidRPr="00044E23" w:rsidRDefault="009C4E60" w:rsidP="003162EC">
            <w:pPr>
              <w:jc w:val="right"/>
              <w:rPr>
                <w:lang w:val="en-GB"/>
              </w:rPr>
            </w:pPr>
            <w:r w:rsidRPr="00044E23">
              <w:rPr>
                <w:lang w:val="en-GB"/>
              </w:rPr>
              <w:t>2,543,400</w:t>
            </w:r>
          </w:p>
        </w:tc>
      </w:tr>
      <w:tr w:rsidR="009C4E60" w:rsidRPr="00044E23" w:rsidTr="00E16809">
        <w:tc>
          <w:tcPr>
            <w:tcW w:w="406" w:type="dxa"/>
          </w:tcPr>
          <w:p w:rsidR="009C4E60" w:rsidRPr="00044E23" w:rsidRDefault="009C4E60" w:rsidP="00E16809">
            <w:pPr>
              <w:jc w:val="right"/>
              <w:rPr>
                <w:lang w:val="en-GB"/>
              </w:rPr>
            </w:pPr>
            <w:r w:rsidRPr="00044E23">
              <w:rPr>
                <w:lang w:val="en-GB"/>
              </w:rPr>
              <w:t>28.</w:t>
            </w:r>
          </w:p>
        </w:tc>
        <w:tc>
          <w:tcPr>
            <w:tcW w:w="6228" w:type="dxa"/>
          </w:tcPr>
          <w:p w:rsidR="009C4E60" w:rsidRPr="00044E23" w:rsidRDefault="009C4E60" w:rsidP="00E16809">
            <w:pPr>
              <w:jc w:val="left"/>
              <w:rPr>
                <w:lang w:val="en-GB"/>
              </w:rPr>
            </w:pPr>
            <w:r w:rsidRPr="00044E23">
              <w:rPr>
                <w:lang w:val="en-GB"/>
              </w:rPr>
              <w:t>Record non-standard processing operation and keep for three years</w:t>
            </w:r>
          </w:p>
        </w:tc>
        <w:tc>
          <w:tcPr>
            <w:tcW w:w="284" w:type="dxa"/>
            <w:tcBorders>
              <w:right w:val="nil"/>
            </w:tcBorders>
          </w:tcPr>
          <w:p w:rsidR="009C4E60" w:rsidRPr="00044E23" w:rsidRDefault="009C4E60" w:rsidP="006C7615">
            <w:pPr>
              <w:jc w:val="left"/>
              <w:rPr>
                <w:lang w:val="en-GB"/>
              </w:rPr>
            </w:pPr>
            <w:r w:rsidRPr="00044E23">
              <w:rPr>
                <w:lang w:val="en-GB"/>
              </w:rPr>
              <w:t>€</w:t>
            </w:r>
          </w:p>
        </w:tc>
        <w:tc>
          <w:tcPr>
            <w:tcW w:w="1472" w:type="dxa"/>
            <w:tcBorders>
              <w:left w:val="nil"/>
            </w:tcBorders>
          </w:tcPr>
          <w:p w:rsidR="009C4E60" w:rsidRPr="00044E23" w:rsidRDefault="009C4E60" w:rsidP="00E16809">
            <w:pPr>
              <w:jc w:val="right"/>
              <w:rPr>
                <w:lang w:val="en-GB"/>
              </w:rPr>
            </w:pPr>
            <w:r w:rsidRPr="00044E23">
              <w:rPr>
                <w:lang w:val="en-GB"/>
              </w:rPr>
              <w:t>13,650</w:t>
            </w:r>
          </w:p>
        </w:tc>
      </w:tr>
      <w:tr w:rsidR="00A054FC" w:rsidRPr="00044E23" w:rsidTr="00445E76">
        <w:tc>
          <w:tcPr>
            <w:tcW w:w="406" w:type="dxa"/>
          </w:tcPr>
          <w:p w:rsidR="00A054FC" w:rsidRPr="00044E23" w:rsidRDefault="00445E76" w:rsidP="00445E76">
            <w:pPr>
              <w:jc w:val="right"/>
              <w:rPr>
                <w:lang w:val="en-GB"/>
              </w:rPr>
            </w:pPr>
            <w:r w:rsidRPr="00044E23">
              <w:rPr>
                <w:lang w:val="en-GB"/>
              </w:rPr>
              <w:t>30.</w:t>
            </w:r>
          </w:p>
        </w:tc>
        <w:tc>
          <w:tcPr>
            <w:tcW w:w="6228" w:type="dxa"/>
          </w:tcPr>
          <w:p w:rsidR="00A054FC" w:rsidRPr="00044E23" w:rsidRDefault="00445E76" w:rsidP="00445E76">
            <w:pPr>
              <w:jc w:val="left"/>
              <w:rPr>
                <w:lang w:val="en-GB"/>
              </w:rPr>
            </w:pPr>
            <w:r w:rsidRPr="00044E23">
              <w:rPr>
                <w:lang w:val="en-GB"/>
              </w:rPr>
              <w:t>Keep a register of notified data processing operations (including other activities of data protection officer)</w:t>
            </w:r>
          </w:p>
        </w:tc>
        <w:tc>
          <w:tcPr>
            <w:tcW w:w="284" w:type="dxa"/>
            <w:tcBorders>
              <w:right w:val="nil"/>
            </w:tcBorders>
          </w:tcPr>
          <w:p w:rsidR="00A054FC" w:rsidRPr="00044E23" w:rsidRDefault="00A054FC" w:rsidP="006C7615">
            <w:pPr>
              <w:jc w:val="left"/>
              <w:rPr>
                <w:lang w:val="en-GB"/>
              </w:rPr>
            </w:pPr>
            <w:r w:rsidRPr="00044E23">
              <w:rPr>
                <w:lang w:val="en-GB"/>
              </w:rPr>
              <w:t>€</w:t>
            </w:r>
          </w:p>
        </w:tc>
        <w:tc>
          <w:tcPr>
            <w:tcW w:w="1472" w:type="dxa"/>
            <w:tcBorders>
              <w:left w:val="nil"/>
            </w:tcBorders>
          </w:tcPr>
          <w:p w:rsidR="00A054FC" w:rsidRPr="00044E23" w:rsidRDefault="009C4E60" w:rsidP="003162EC">
            <w:pPr>
              <w:jc w:val="right"/>
              <w:rPr>
                <w:lang w:val="en-GB"/>
              </w:rPr>
            </w:pPr>
            <w:r w:rsidRPr="00044E23">
              <w:rPr>
                <w:lang w:val="en-GB"/>
              </w:rPr>
              <w:t>89,728</w:t>
            </w:r>
          </w:p>
        </w:tc>
      </w:tr>
      <w:tr w:rsidR="00A054FC" w:rsidRPr="00044E23" w:rsidTr="00445E76">
        <w:tc>
          <w:tcPr>
            <w:tcW w:w="406" w:type="dxa"/>
          </w:tcPr>
          <w:p w:rsidR="00A054FC" w:rsidRPr="00044E23" w:rsidRDefault="00445E76" w:rsidP="00445E76">
            <w:pPr>
              <w:jc w:val="right"/>
              <w:rPr>
                <w:lang w:val="en-GB"/>
              </w:rPr>
            </w:pPr>
            <w:r w:rsidRPr="00044E23">
              <w:rPr>
                <w:lang w:val="en-GB"/>
              </w:rPr>
              <w:t>31.</w:t>
            </w:r>
          </w:p>
        </w:tc>
        <w:tc>
          <w:tcPr>
            <w:tcW w:w="6228" w:type="dxa"/>
          </w:tcPr>
          <w:p w:rsidR="00A054FC" w:rsidRPr="00044E23" w:rsidRDefault="00445E76" w:rsidP="00445E76">
            <w:pPr>
              <w:jc w:val="left"/>
              <w:rPr>
                <w:lang w:val="en-GB"/>
              </w:rPr>
            </w:pPr>
            <w:r w:rsidRPr="00044E23">
              <w:rPr>
                <w:lang w:val="en-GB"/>
              </w:rPr>
              <w:t>Cooperate in prior study by the Dutch Data Protection Authority</w:t>
            </w:r>
          </w:p>
        </w:tc>
        <w:tc>
          <w:tcPr>
            <w:tcW w:w="284" w:type="dxa"/>
            <w:tcBorders>
              <w:right w:val="nil"/>
            </w:tcBorders>
          </w:tcPr>
          <w:p w:rsidR="00A054FC" w:rsidRPr="00044E23" w:rsidRDefault="00A054FC" w:rsidP="006C7615">
            <w:pPr>
              <w:jc w:val="left"/>
              <w:rPr>
                <w:lang w:val="en-GB"/>
              </w:rPr>
            </w:pPr>
            <w:r w:rsidRPr="00044E23">
              <w:rPr>
                <w:lang w:val="en-GB"/>
              </w:rPr>
              <w:t>€</w:t>
            </w:r>
          </w:p>
        </w:tc>
        <w:tc>
          <w:tcPr>
            <w:tcW w:w="1472" w:type="dxa"/>
            <w:tcBorders>
              <w:left w:val="nil"/>
            </w:tcBorders>
          </w:tcPr>
          <w:p w:rsidR="00A054FC" w:rsidRPr="00044E23" w:rsidRDefault="009C4E60" w:rsidP="003162EC">
            <w:pPr>
              <w:jc w:val="right"/>
              <w:rPr>
                <w:lang w:val="en-GB"/>
              </w:rPr>
            </w:pPr>
            <w:r w:rsidRPr="00044E23">
              <w:rPr>
                <w:lang w:val="en-GB"/>
              </w:rPr>
              <w:t>20,438</w:t>
            </w:r>
          </w:p>
        </w:tc>
      </w:tr>
      <w:tr w:rsidR="00A054FC" w:rsidRPr="00044E23" w:rsidTr="00445E76">
        <w:tc>
          <w:tcPr>
            <w:tcW w:w="406" w:type="dxa"/>
            <w:tcBorders>
              <w:bottom w:val="single" w:sz="4" w:space="0" w:color="auto"/>
            </w:tcBorders>
          </w:tcPr>
          <w:p w:rsidR="00A054FC" w:rsidRPr="00044E23" w:rsidRDefault="00445E76" w:rsidP="00445E76">
            <w:pPr>
              <w:jc w:val="right"/>
              <w:rPr>
                <w:lang w:val="en-GB"/>
              </w:rPr>
            </w:pPr>
            <w:r w:rsidRPr="00044E23">
              <w:rPr>
                <w:lang w:val="en-GB"/>
              </w:rPr>
              <w:t>35.</w:t>
            </w:r>
          </w:p>
        </w:tc>
        <w:tc>
          <w:tcPr>
            <w:tcW w:w="6228" w:type="dxa"/>
            <w:tcBorders>
              <w:bottom w:val="single" w:sz="4" w:space="0" w:color="auto"/>
            </w:tcBorders>
          </w:tcPr>
          <w:p w:rsidR="00A054FC" w:rsidRPr="00044E23" w:rsidRDefault="00445E76" w:rsidP="00445E76">
            <w:pPr>
              <w:jc w:val="left"/>
              <w:rPr>
                <w:lang w:val="en-GB"/>
              </w:rPr>
            </w:pPr>
            <w:r w:rsidRPr="00044E23">
              <w:rPr>
                <w:lang w:val="en-GB"/>
              </w:rPr>
              <w:t>Inform the data subject whether personal data is processed and provide data (passive)</w:t>
            </w:r>
          </w:p>
        </w:tc>
        <w:tc>
          <w:tcPr>
            <w:tcW w:w="284" w:type="dxa"/>
            <w:tcBorders>
              <w:bottom w:val="single" w:sz="4" w:space="0" w:color="auto"/>
              <w:right w:val="nil"/>
            </w:tcBorders>
          </w:tcPr>
          <w:p w:rsidR="00A054FC" w:rsidRPr="00044E23" w:rsidRDefault="00A054FC" w:rsidP="006C7615">
            <w:pPr>
              <w:jc w:val="left"/>
              <w:rPr>
                <w:lang w:val="en-GB"/>
              </w:rPr>
            </w:pPr>
            <w:r w:rsidRPr="00044E23">
              <w:rPr>
                <w:lang w:val="en-GB"/>
              </w:rPr>
              <w:t>€</w:t>
            </w:r>
          </w:p>
        </w:tc>
        <w:tc>
          <w:tcPr>
            <w:tcW w:w="1472" w:type="dxa"/>
            <w:tcBorders>
              <w:left w:val="nil"/>
              <w:bottom w:val="single" w:sz="4" w:space="0" w:color="auto"/>
            </w:tcBorders>
          </w:tcPr>
          <w:p w:rsidR="00A054FC" w:rsidRPr="00044E23" w:rsidRDefault="009C4E60" w:rsidP="003162EC">
            <w:pPr>
              <w:jc w:val="right"/>
              <w:rPr>
                <w:lang w:val="en-GB"/>
              </w:rPr>
            </w:pPr>
            <w:r w:rsidRPr="00044E23">
              <w:rPr>
                <w:lang w:val="en-GB"/>
              </w:rPr>
              <w:t>68,137,500</w:t>
            </w:r>
          </w:p>
        </w:tc>
      </w:tr>
      <w:tr w:rsidR="00A054FC" w:rsidRPr="00044E23" w:rsidTr="00445E76">
        <w:tc>
          <w:tcPr>
            <w:tcW w:w="6634" w:type="dxa"/>
            <w:gridSpan w:val="2"/>
            <w:tcBorders>
              <w:top w:val="single" w:sz="4" w:space="0" w:color="auto"/>
              <w:bottom w:val="single" w:sz="4" w:space="0" w:color="000000" w:themeColor="text1"/>
            </w:tcBorders>
          </w:tcPr>
          <w:p w:rsidR="00A054FC" w:rsidRPr="00044E23" w:rsidRDefault="00A054FC" w:rsidP="000D1370">
            <w:pPr>
              <w:jc w:val="left"/>
              <w:rPr>
                <w:b/>
                <w:lang w:val="en-GB"/>
              </w:rPr>
            </w:pPr>
            <w:r w:rsidRPr="00044E23">
              <w:rPr>
                <w:b/>
                <w:lang w:val="en-GB"/>
              </w:rPr>
              <w:t>Total</w:t>
            </w:r>
          </w:p>
        </w:tc>
        <w:tc>
          <w:tcPr>
            <w:tcW w:w="284" w:type="dxa"/>
            <w:tcBorders>
              <w:top w:val="single" w:sz="4" w:space="0" w:color="auto"/>
              <w:bottom w:val="single" w:sz="4" w:space="0" w:color="000000" w:themeColor="text1"/>
              <w:right w:val="nil"/>
            </w:tcBorders>
          </w:tcPr>
          <w:p w:rsidR="00A054FC" w:rsidRPr="00044E23" w:rsidRDefault="00A054FC" w:rsidP="006C7615">
            <w:pPr>
              <w:jc w:val="left"/>
              <w:rPr>
                <w:b/>
                <w:lang w:val="en-GB"/>
              </w:rPr>
            </w:pPr>
            <w:r w:rsidRPr="00044E23">
              <w:rPr>
                <w:b/>
                <w:lang w:val="en-GB"/>
              </w:rPr>
              <w:t>€</w:t>
            </w:r>
          </w:p>
        </w:tc>
        <w:tc>
          <w:tcPr>
            <w:tcW w:w="1472" w:type="dxa"/>
            <w:tcBorders>
              <w:top w:val="single" w:sz="4" w:space="0" w:color="auto"/>
              <w:left w:val="nil"/>
              <w:bottom w:val="single" w:sz="4" w:space="0" w:color="000000" w:themeColor="text1"/>
            </w:tcBorders>
          </w:tcPr>
          <w:p w:rsidR="00A054FC" w:rsidRPr="00044E23" w:rsidRDefault="009C4E60" w:rsidP="003162EC">
            <w:pPr>
              <w:jc w:val="right"/>
              <w:rPr>
                <w:b/>
                <w:lang w:val="en-GB"/>
              </w:rPr>
            </w:pPr>
            <w:r w:rsidRPr="00044E23">
              <w:rPr>
                <w:b/>
                <w:lang w:val="en-GB"/>
              </w:rPr>
              <w:t>70,804,716</w:t>
            </w:r>
          </w:p>
        </w:tc>
      </w:tr>
    </w:tbl>
    <w:p w:rsidR="000D1370" w:rsidRPr="00044E23" w:rsidRDefault="000D1370" w:rsidP="00895B9A">
      <w:pPr>
        <w:rPr>
          <w:lang w:val="en-GB"/>
        </w:rPr>
      </w:pPr>
    </w:p>
    <w:p w:rsidR="005D7B49" w:rsidRPr="00044E23" w:rsidRDefault="005D7B49" w:rsidP="00895B9A">
      <w:pPr>
        <w:rPr>
          <w:lang w:val="en-GB"/>
        </w:rPr>
      </w:pPr>
      <w:r w:rsidRPr="00044E23">
        <w:rPr>
          <w:lang w:val="en-GB"/>
        </w:rPr>
        <w:t>When the European Data Protection Regulation enters into force, the CC for Dutch business will increase from €70,804,716 to at least €1,123,998,948.</w:t>
      </w:r>
    </w:p>
    <w:p w:rsidR="00D247B7" w:rsidRPr="00044E23" w:rsidRDefault="00D247B7" w:rsidP="00895B9A">
      <w:pPr>
        <w:rPr>
          <w:lang w:val="en-GB"/>
        </w:rPr>
      </w:pPr>
      <w:r w:rsidRPr="00044E23">
        <w:rPr>
          <w:lang w:val="en-GB"/>
        </w:rPr>
        <w:t>When assuming the second scenario (high estimate)</w:t>
      </w:r>
      <w:r w:rsidR="007D02BC" w:rsidRPr="00044E23">
        <w:rPr>
          <w:rStyle w:val="Funotenzeichen"/>
          <w:lang w:val="en-GB"/>
        </w:rPr>
        <w:footnoteReference w:id="11"/>
      </w:r>
      <w:r w:rsidRPr="00044E23">
        <w:rPr>
          <w:lang w:val="en-GB"/>
        </w:rPr>
        <w:t xml:space="preserve"> in relation to the documentation obligation under Article 28 of the proposed EDPR, CC increases to €1,467,573,948.</w:t>
      </w:r>
    </w:p>
    <w:p w:rsidR="00C34381" w:rsidRPr="00044E23" w:rsidRDefault="00C34381">
      <w:pPr>
        <w:ind w:left="-851"/>
        <w:jc w:val="left"/>
        <w:rPr>
          <w:rFonts w:eastAsiaTheme="majorEastAsia" w:cstheme="majorBidi"/>
          <w:b/>
          <w:bCs/>
          <w:color w:val="000080"/>
          <w:sz w:val="24"/>
          <w:szCs w:val="26"/>
          <w:lang w:val="en-GB"/>
        </w:rPr>
      </w:pPr>
      <w:r w:rsidRPr="00044E23">
        <w:rPr>
          <w:lang w:val="en-GB"/>
        </w:rPr>
        <w:br w:type="page"/>
      </w:r>
    </w:p>
    <w:p w:rsidR="00A06902" w:rsidRPr="00044E23" w:rsidRDefault="00A06902" w:rsidP="00A06902">
      <w:pPr>
        <w:pStyle w:val="berschrift2"/>
        <w:rPr>
          <w:lang w:val="en-GB"/>
        </w:rPr>
      </w:pPr>
      <w:bookmarkStart w:id="14" w:name="_Toc360101917"/>
      <w:r w:rsidRPr="00044E23">
        <w:rPr>
          <w:lang w:val="en-GB"/>
        </w:rPr>
        <w:t>Summary of results</w:t>
      </w:r>
      <w:bookmarkEnd w:id="14"/>
    </w:p>
    <w:p w:rsidR="00A06902" w:rsidRPr="00044E23" w:rsidRDefault="00B47A76" w:rsidP="00A06902">
      <w:pPr>
        <w:rPr>
          <w:lang w:val="en-GB"/>
        </w:rPr>
      </w:pPr>
      <w:r w:rsidRPr="00044E23">
        <w:rPr>
          <w:lang w:val="en-GB"/>
        </w:rPr>
        <w:t>Table 7 shows the total costs originating from the proposed European Data Protection Regulation. Table 8 shows the total costs originating from the Dutch Data Protection Act. It was impossible to quantify the costs associated with several obligations, so it is therefore possible that the actual costs may be higher.</w:t>
      </w:r>
    </w:p>
    <w:p w:rsidR="004113A8" w:rsidRPr="00044E23" w:rsidRDefault="004113A8" w:rsidP="003A6B87">
      <w:pPr>
        <w:rPr>
          <w:lang w:val="en-GB"/>
        </w:rPr>
      </w:pPr>
    </w:p>
    <w:p w:rsidR="004113A8" w:rsidRPr="00044E23" w:rsidRDefault="004113A8" w:rsidP="004113A8">
      <w:pPr>
        <w:pStyle w:val="Beschriftung"/>
        <w:rPr>
          <w:lang w:val="en-GB"/>
        </w:rPr>
      </w:pPr>
      <w:r w:rsidRPr="00044E23">
        <w:rPr>
          <w:b/>
          <w:lang w:val="en-GB"/>
        </w:rPr>
        <w:t xml:space="preserve">Table </w:t>
      </w:r>
      <w:r w:rsidR="00772565" w:rsidRPr="00044E23">
        <w:rPr>
          <w:b/>
          <w:lang w:val="en-GB"/>
        </w:rPr>
        <w:fldChar w:fldCharType="begin"/>
      </w:r>
      <w:r w:rsidRPr="00044E23">
        <w:rPr>
          <w:b/>
          <w:lang w:val="en-GB"/>
        </w:rPr>
        <w:instrText xml:space="preserve"> SEQ Tabel \* ARABIC </w:instrText>
      </w:r>
      <w:r w:rsidR="00772565" w:rsidRPr="00044E23">
        <w:rPr>
          <w:b/>
          <w:lang w:val="en-GB"/>
        </w:rPr>
        <w:fldChar w:fldCharType="separate"/>
      </w:r>
      <w:r w:rsidR="00DE1A7B" w:rsidRPr="00044E23">
        <w:rPr>
          <w:b/>
          <w:lang w:val="en-GB"/>
        </w:rPr>
        <w:t>7</w:t>
      </w:r>
      <w:r w:rsidR="00772565" w:rsidRPr="00044E23">
        <w:rPr>
          <w:b/>
          <w:lang w:val="en-GB"/>
        </w:rPr>
        <w:fldChar w:fldCharType="end"/>
      </w:r>
      <w:r w:rsidRPr="00044E23">
        <w:rPr>
          <w:b/>
          <w:lang w:val="en-GB"/>
        </w:rPr>
        <w:t xml:space="preserve">. </w:t>
      </w:r>
      <w:r w:rsidR="00A06902" w:rsidRPr="00044E23">
        <w:rPr>
          <w:lang w:val="en-GB"/>
        </w:rPr>
        <w:t>Summary of costs resulting from the European Data Protection Regulation.</w:t>
      </w:r>
    </w:p>
    <w:tbl>
      <w:tblPr>
        <w:tblStyle w:val="SIRAStandaardtabel"/>
        <w:tblW w:w="0" w:type="auto"/>
        <w:tblLook w:val="04A0" w:firstRow="1" w:lastRow="0" w:firstColumn="1" w:lastColumn="0" w:noHBand="0" w:noVBand="1"/>
      </w:tblPr>
      <w:tblGrid>
        <w:gridCol w:w="4933"/>
        <w:gridCol w:w="284"/>
        <w:gridCol w:w="1417"/>
        <w:gridCol w:w="280"/>
        <w:gridCol w:w="1476"/>
      </w:tblGrid>
      <w:tr w:rsidR="006C7615" w:rsidRPr="00044E23" w:rsidTr="006C7615">
        <w:trPr>
          <w:cnfStyle w:val="100000000000" w:firstRow="1" w:lastRow="0" w:firstColumn="0" w:lastColumn="0" w:oddVBand="0" w:evenVBand="0" w:oddHBand="0" w:evenHBand="0" w:firstRowFirstColumn="0" w:firstRowLastColumn="0" w:lastRowFirstColumn="0" w:lastRowLastColumn="0"/>
        </w:trPr>
        <w:tc>
          <w:tcPr>
            <w:tcW w:w="4933" w:type="dxa"/>
          </w:tcPr>
          <w:p w:rsidR="006C7615" w:rsidRPr="00044E23" w:rsidRDefault="006C7615" w:rsidP="003162EC">
            <w:pPr>
              <w:rPr>
                <w:b w:val="0"/>
                <w:lang w:val="en-GB"/>
              </w:rPr>
            </w:pPr>
            <w:r w:rsidRPr="00044E23">
              <w:rPr>
                <w:lang w:val="en-GB"/>
              </w:rPr>
              <w:t>Type of cost</w:t>
            </w:r>
          </w:p>
        </w:tc>
        <w:tc>
          <w:tcPr>
            <w:tcW w:w="284" w:type="dxa"/>
          </w:tcPr>
          <w:p w:rsidR="006C7615" w:rsidRPr="00044E23" w:rsidRDefault="006C7615" w:rsidP="003162EC">
            <w:pPr>
              <w:rPr>
                <w:lang w:val="en-GB"/>
              </w:rPr>
            </w:pPr>
          </w:p>
        </w:tc>
        <w:tc>
          <w:tcPr>
            <w:tcW w:w="1417" w:type="dxa"/>
          </w:tcPr>
          <w:p w:rsidR="006C7615" w:rsidRPr="00044E23" w:rsidRDefault="006C7615" w:rsidP="006C7615">
            <w:pPr>
              <w:jc w:val="right"/>
              <w:rPr>
                <w:b w:val="0"/>
                <w:lang w:val="en-GB"/>
              </w:rPr>
            </w:pPr>
            <w:r w:rsidRPr="00044E23">
              <w:rPr>
                <w:lang w:val="en-GB"/>
              </w:rPr>
              <w:t>Low estimate</w:t>
            </w:r>
          </w:p>
        </w:tc>
        <w:tc>
          <w:tcPr>
            <w:tcW w:w="280" w:type="dxa"/>
          </w:tcPr>
          <w:p w:rsidR="006C7615" w:rsidRPr="00044E23" w:rsidRDefault="006C7615" w:rsidP="006C7615">
            <w:pPr>
              <w:jc w:val="right"/>
              <w:rPr>
                <w:lang w:val="en-GB"/>
              </w:rPr>
            </w:pPr>
          </w:p>
        </w:tc>
        <w:tc>
          <w:tcPr>
            <w:tcW w:w="1476" w:type="dxa"/>
          </w:tcPr>
          <w:p w:rsidR="006C7615" w:rsidRPr="00044E23" w:rsidRDefault="006C7615" w:rsidP="006C7615">
            <w:pPr>
              <w:jc w:val="right"/>
              <w:rPr>
                <w:b w:val="0"/>
                <w:lang w:val="en-GB"/>
              </w:rPr>
            </w:pPr>
            <w:r w:rsidRPr="00044E23">
              <w:rPr>
                <w:lang w:val="en-GB"/>
              </w:rPr>
              <w:t>High estimate</w:t>
            </w:r>
          </w:p>
        </w:tc>
      </w:tr>
      <w:tr w:rsidR="006C7615" w:rsidRPr="00044E23" w:rsidTr="006C7615">
        <w:tc>
          <w:tcPr>
            <w:tcW w:w="4933" w:type="dxa"/>
          </w:tcPr>
          <w:p w:rsidR="006C7615" w:rsidRPr="00044E23" w:rsidRDefault="006C7615" w:rsidP="003162EC">
            <w:pPr>
              <w:rPr>
                <w:lang w:val="en-GB"/>
              </w:rPr>
            </w:pPr>
            <w:r w:rsidRPr="00044E23">
              <w:rPr>
                <w:lang w:val="en-GB"/>
              </w:rPr>
              <w:t>Administrative burden (AB)</w:t>
            </w:r>
          </w:p>
        </w:tc>
        <w:tc>
          <w:tcPr>
            <w:tcW w:w="284" w:type="dxa"/>
            <w:tcBorders>
              <w:right w:val="nil"/>
            </w:tcBorders>
          </w:tcPr>
          <w:p w:rsidR="006C7615" w:rsidRPr="00044E23" w:rsidRDefault="006C7615" w:rsidP="006C7615">
            <w:pPr>
              <w:jc w:val="left"/>
              <w:rPr>
                <w:lang w:val="en-GB"/>
              </w:rPr>
            </w:pPr>
            <w:r w:rsidRPr="00044E23">
              <w:rPr>
                <w:lang w:val="en-GB"/>
              </w:rPr>
              <w:t>€</w:t>
            </w:r>
          </w:p>
        </w:tc>
        <w:tc>
          <w:tcPr>
            <w:tcW w:w="1417" w:type="dxa"/>
            <w:tcBorders>
              <w:top w:val="single" w:sz="4" w:space="0" w:color="auto"/>
              <w:left w:val="nil"/>
            </w:tcBorders>
          </w:tcPr>
          <w:p w:rsidR="006C7615" w:rsidRPr="00044E23" w:rsidRDefault="006C7615" w:rsidP="003162EC">
            <w:pPr>
              <w:jc w:val="right"/>
              <w:rPr>
                <w:lang w:val="en-GB"/>
              </w:rPr>
            </w:pPr>
            <w:r w:rsidRPr="00044E23">
              <w:rPr>
                <w:lang w:val="en-GB"/>
              </w:rPr>
              <w:t>1,490,532</w:t>
            </w:r>
          </w:p>
        </w:tc>
        <w:tc>
          <w:tcPr>
            <w:tcW w:w="280" w:type="dxa"/>
            <w:tcBorders>
              <w:top w:val="single" w:sz="4" w:space="0" w:color="auto"/>
              <w:right w:val="nil"/>
            </w:tcBorders>
          </w:tcPr>
          <w:p w:rsidR="006C7615" w:rsidRPr="00044E23" w:rsidRDefault="006C7615" w:rsidP="006C7615">
            <w:pPr>
              <w:jc w:val="left"/>
              <w:rPr>
                <w:lang w:val="en-GB"/>
              </w:rPr>
            </w:pPr>
            <w:r w:rsidRPr="00044E23">
              <w:rPr>
                <w:lang w:val="en-GB"/>
              </w:rPr>
              <w:t>€</w:t>
            </w:r>
          </w:p>
        </w:tc>
        <w:tc>
          <w:tcPr>
            <w:tcW w:w="1476" w:type="dxa"/>
            <w:tcBorders>
              <w:left w:val="nil"/>
            </w:tcBorders>
          </w:tcPr>
          <w:p w:rsidR="006C7615" w:rsidRPr="00044E23" w:rsidRDefault="006C7615" w:rsidP="003162EC">
            <w:pPr>
              <w:jc w:val="right"/>
              <w:rPr>
                <w:lang w:val="en-GB"/>
              </w:rPr>
            </w:pPr>
            <w:r w:rsidRPr="00044E23">
              <w:rPr>
                <w:lang w:val="en-GB"/>
              </w:rPr>
              <w:t>1,490,532</w:t>
            </w:r>
          </w:p>
        </w:tc>
      </w:tr>
      <w:tr w:rsidR="006C7615" w:rsidRPr="00044E23" w:rsidTr="006C7615">
        <w:tc>
          <w:tcPr>
            <w:tcW w:w="4933" w:type="dxa"/>
            <w:tcBorders>
              <w:bottom w:val="single" w:sz="4" w:space="0" w:color="auto"/>
            </w:tcBorders>
          </w:tcPr>
          <w:p w:rsidR="006C7615" w:rsidRPr="00044E23" w:rsidRDefault="006C7615" w:rsidP="003162EC">
            <w:pPr>
              <w:rPr>
                <w:lang w:val="en-GB"/>
              </w:rPr>
            </w:pPr>
            <w:r w:rsidRPr="00044E23">
              <w:rPr>
                <w:lang w:val="en-GB"/>
              </w:rPr>
              <w:t>Compliance costs (CC)</w:t>
            </w:r>
          </w:p>
        </w:tc>
        <w:tc>
          <w:tcPr>
            <w:tcW w:w="284" w:type="dxa"/>
            <w:tcBorders>
              <w:bottom w:val="single" w:sz="4" w:space="0" w:color="auto"/>
              <w:right w:val="nil"/>
            </w:tcBorders>
          </w:tcPr>
          <w:p w:rsidR="006C7615" w:rsidRPr="00044E23" w:rsidRDefault="006C7615" w:rsidP="006C7615">
            <w:pPr>
              <w:jc w:val="left"/>
              <w:rPr>
                <w:lang w:val="en-GB"/>
              </w:rPr>
            </w:pPr>
            <w:r w:rsidRPr="00044E23">
              <w:rPr>
                <w:lang w:val="en-GB"/>
              </w:rPr>
              <w:t>€</w:t>
            </w:r>
          </w:p>
        </w:tc>
        <w:tc>
          <w:tcPr>
            <w:tcW w:w="1417" w:type="dxa"/>
            <w:tcBorders>
              <w:left w:val="nil"/>
              <w:bottom w:val="single" w:sz="4" w:space="0" w:color="auto"/>
            </w:tcBorders>
          </w:tcPr>
          <w:p w:rsidR="006C7615" w:rsidRPr="00044E23" w:rsidRDefault="006C7615" w:rsidP="003162EC">
            <w:pPr>
              <w:jc w:val="right"/>
              <w:rPr>
                <w:lang w:val="en-GB"/>
              </w:rPr>
            </w:pPr>
            <w:r w:rsidRPr="00044E23">
              <w:rPr>
                <w:lang w:val="en-GB"/>
              </w:rPr>
              <w:t>1,123,998,948</w:t>
            </w:r>
          </w:p>
        </w:tc>
        <w:tc>
          <w:tcPr>
            <w:tcW w:w="280" w:type="dxa"/>
            <w:tcBorders>
              <w:bottom w:val="single" w:sz="4" w:space="0" w:color="auto"/>
              <w:right w:val="nil"/>
            </w:tcBorders>
          </w:tcPr>
          <w:p w:rsidR="006C7615" w:rsidRPr="00044E23" w:rsidRDefault="006C7615" w:rsidP="006C7615">
            <w:pPr>
              <w:jc w:val="left"/>
              <w:rPr>
                <w:lang w:val="en-GB"/>
              </w:rPr>
            </w:pPr>
            <w:r w:rsidRPr="00044E23">
              <w:rPr>
                <w:lang w:val="en-GB"/>
              </w:rPr>
              <w:t>€</w:t>
            </w:r>
          </w:p>
        </w:tc>
        <w:tc>
          <w:tcPr>
            <w:tcW w:w="1476" w:type="dxa"/>
            <w:tcBorders>
              <w:left w:val="nil"/>
              <w:bottom w:val="single" w:sz="4" w:space="0" w:color="auto"/>
            </w:tcBorders>
          </w:tcPr>
          <w:p w:rsidR="006C7615" w:rsidRPr="00044E23" w:rsidRDefault="006C7615" w:rsidP="003162EC">
            <w:pPr>
              <w:jc w:val="right"/>
              <w:rPr>
                <w:lang w:val="en-GB"/>
              </w:rPr>
            </w:pPr>
            <w:r w:rsidRPr="00044E23">
              <w:rPr>
                <w:lang w:val="en-GB"/>
              </w:rPr>
              <w:t>1,467,573,948</w:t>
            </w:r>
          </w:p>
        </w:tc>
      </w:tr>
      <w:tr w:rsidR="006C7615" w:rsidRPr="00044E23" w:rsidTr="006C7615">
        <w:tc>
          <w:tcPr>
            <w:tcW w:w="4933" w:type="dxa"/>
            <w:tcBorders>
              <w:top w:val="single" w:sz="4" w:space="0" w:color="auto"/>
              <w:bottom w:val="single" w:sz="4" w:space="0" w:color="000000" w:themeColor="text1"/>
            </w:tcBorders>
          </w:tcPr>
          <w:p w:rsidR="006C7615" w:rsidRPr="00044E23" w:rsidRDefault="006C7615" w:rsidP="000D1370">
            <w:pPr>
              <w:jc w:val="left"/>
              <w:rPr>
                <w:b/>
                <w:lang w:val="en-GB"/>
              </w:rPr>
            </w:pPr>
            <w:r w:rsidRPr="00044E23">
              <w:rPr>
                <w:b/>
                <w:lang w:val="en-GB"/>
              </w:rPr>
              <w:t>Total</w:t>
            </w:r>
          </w:p>
        </w:tc>
        <w:tc>
          <w:tcPr>
            <w:tcW w:w="284" w:type="dxa"/>
            <w:tcBorders>
              <w:top w:val="single" w:sz="4" w:space="0" w:color="auto"/>
              <w:bottom w:val="single" w:sz="4" w:space="0" w:color="000000" w:themeColor="text1"/>
              <w:right w:val="nil"/>
            </w:tcBorders>
          </w:tcPr>
          <w:p w:rsidR="006C7615" w:rsidRPr="00044E23" w:rsidRDefault="006C7615" w:rsidP="006C7615">
            <w:pPr>
              <w:jc w:val="left"/>
              <w:rPr>
                <w:b/>
                <w:lang w:val="en-GB"/>
              </w:rPr>
            </w:pPr>
            <w:r w:rsidRPr="00044E23">
              <w:rPr>
                <w:b/>
                <w:lang w:val="en-GB"/>
              </w:rPr>
              <w:t>€</w:t>
            </w:r>
          </w:p>
        </w:tc>
        <w:tc>
          <w:tcPr>
            <w:tcW w:w="1417" w:type="dxa"/>
            <w:tcBorders>
              <w:top w:val="single" w:sz="4" w:space="0" w:color="auto"/>
              <w:left w:val="nil"/>
              <w:bottom w:val="single" w:sz="4" w:space="0" w:color="000000" w:themeColor="text1"/>
            </w:tcBorders>
          </w:tcPr>
          <w:p w:rsidR="006C7615" w:rsidRPr="00044E23" w:rsidRDefault="006C7615" w:rsidP="003162EC">
            <w:pPr>
              <w:jc w:val="right"/>
              <w:rPr>
                <w:b/>
                <w:lang w:val="en-GB"/>
              </w:rPr>
            </w:pPr>
            <w:r w:rsidRPr="00044E23">
              <w:rPr>
                <w:b/>
                <w:lang w:val="en-GB"/>
              </w:rPr>
              <w:t>1,125,489,480</w:t>
            </w:r>
          </w:p>
        </w:tc>
        <w:tc>
          <w:tcPr>
            <w:tcW w:w="280" w:type="dxa"/>
            <w:tcBorders>
              <w:top w:val="single" w:sz="4" w:space="0" w:color="auto"/>
              <w:bottom w:val="single" w:sz="4" w:space="0" w:color="000000" w:themeColor="text1"/>
              <w:right w:val="nil"/>
            </w:tcBorders>
          </w:tcPr>
          <w:p w:rsidR="006C7615" w:rsidRPr="00044E23" w:rsidRDefault="006C7615" w:rsidP="006C7615">
            <w:pPr>
              <w:jc w:val="left"/>
              <w:rPr>
                <w:b/>
                <w:lang w:val="en-GB"/>
              </w:rPr>
            </w:pPr>
            <w:r w:rsidRPr="00044E23">
              <w:rPr>
                <w:b/>
                <w:lang w:val="en-GB"/>
              </w:rPr>
              <w:t>€</w:t>
            </w:r>
          </w:p>
        </w:tc>
        <w:tc>
          <w:tcPr>
            <w:tcW w:w="1476" w:type="dxa"/>
            <w:tcBorders>
              <w:top w:val="single" w:sz="4" w:space="0" w:color="auto"/>
              <w:left w:val="nil"/>
              <w:bottom w:val="single" w:sz="4" w:space="0" w:color="000000" w:themeColor="text1"/>
            </w:tcBorders>
          </w:tcPr>
          <w:p w:rsidR="006C7615" w:rsidRPr="00044E23" w:rsidRDefault="006C7615" w:rsidP="003162EC">
            <w:pPr>
              <w:jc w:val="right"/>
              <w:rPr>
                <w:b/>
                <w:lang w:val="en-GB"/>
              </w:rPr>
            </w:pPr>
            <w:r w:rsidRPr="00044E23">
              <w:rPr>
                <w:b/>
                <w:lang w:val="en-GB"/>
              </w:rPr>
              <w:t>1,469,064,480</w:t>
            </w:r>
          </w:p>
        </w:tc>
      </w:tr>
    </w:tbl>
    <w:p w:rsidR="003A6B87" w:rsidRPr="00044E23" w:rsidRDefault="003A6B87" w:rsidP="003A6B87">
      <w:pPr>
        <w:rPr>
          <w:lang w:val="en-GB"/>
        </w:rPr>
      </w:pPr>
    </w:p>
    <w:p w:rsidR="0090137D" w:rsidRPr="00044E23" w:rsidRDefault="0090137D" w:rsidP="0090137D">
      <w:pPr>
        <w:pStyle w:val="Beschriftung"/>
        <w:rPr>
          <w:lang w:val="en-GB"/>
        </w:rPr>
      </w:pPr>
      <w:r w:rsidRPr="00044E23">
        <w:rPr>
          <w:b/>
          <w:lang w:val="en-GB"/>
        </w:rPr>
        <w:t xml:space="preserve">Table </w:t>
      </w:r>
      <w:r w:rsidR="00772565" w:rsidRPr="00044E23">
        <w:rPr>
          <w:b/>
          <w:lang w:val="en-GB"/>
        </w:rPr>
        <w:fldChar w:fldCharType="begin"/>
      </w:r>
      <w:r w:rsidRPr="00044E23">
        <w:rPr>
          <w:b/>
          <w:lang w:val="en-GB"/>
        </w:rPr>
        <w:instrText xml:space="preserve"> SEQ Tabel \* ARABIC </w:instrText>
      </w:r>
      <w:r w:rsidR="00772565" w:rsidRPr="00044E23">
        <w:rPr>
          <w:b/>
          <w:lang w:val="en-GB"/>
        </w:rPr>
        <w:fldChar w:fldCharType="separate"/>
      </w:r>
      <w:r w:rsidR="00DE1A7B" w:rsidRPr="00044E23">
        <w:rPr>
          <w:b/>
          <w:lang w:val="en-GB"/>
        </w:rPr>
        <w:t>8</w:t>
      </w:r>
      <w:r w:rsidR="00772565" w:rsidRPr="00044E23">
        <w:rPr>
          <w:b/>
          <w:lang w:val="en-GB"/>
        </w:rPr>
        <w:fldChar w:fldCharType="end"/>
      </w:r>
      <w:r w:rsidRPr="00044E23">
        <w:rPr>
          <w:b/>
          <w:lang w:val="en-GB"/>
        </w:rPr>
        <w:t xml:space="preserve">. </w:t>
      </w:r>
      <w:r w:rsidRPr="00044E23">
        <w:rPr>
          <w:lang w:val="en-GB"/>
        </w:rPr>
        <w:t>Summary of costs resulting from the Dutch Data Protection Act</w:t>
      </w:r>
    </w:p>
    <w:tbl>
      <w:tblPr>
        <w:tblStyle w:val="SIRAStandaardtabel"/>
        <w:tblW w:w="0" w:type="auto"/>
        <w:tblLook w:val="04A0" w:firstRow="1" w:lastRow="0" w:firstColumn="1" w:lastColumn="0" w:noHBand="0" w:noVBand="1"/>
      </w:tblPr>
      <w:tblGrid>
        <w:gridCol w:w="6634"/>
        <w:gridCol w:w="247"/>
        <w:gridCol w:w="1509"/>
      </w:tblGrid>
      <w:tr w:rsidR="006A739A" w:rsidRPr="00044E23" w:rsidTr="006A739A">
        <w:trPr>
          <w:cnfStyle w:val="100000000000" w:firstRow="1" w:lastRow="0" w:firstColumn="0" w:lastColumn="0" w:oddVBand="0" w:evenVBand="0" w:oddHBand="0" w:evenHBand="0" w:firstRowFirstColumn="0" w:firstRowLastColumn="0" w:lastRowFirstColumn="0" w:lastRowLastColumn="0"/>
        </w:trPr>
        <w:tc>
          <w:tcPr>
            <w:tcW w:w="6634" w:type="dxa"/>
          </w:tcPr>
          <w:p w:rsidR="006A739A" w:rsidRPr="00044E23" w:rsidRDefault="00161917" w:rsidP="003162EC">
            <w:pPr>
              <w:rPr>
                <w:b w:val="0"/>
                <w:lang w:val="en-GB"/>
              </w:rPr>
            </w:pPr>
            <w:r w:rsidRPr="00044E23">
              <w:rPr>
                <w:lang w:val="en-GB"/>
              </w:rPr>
              <w:t>Type of cost</w:t>
            </w:r>
          </w:p>
        </w:tc>
        <w:tc>
          <w:tcPr>
            <w:tcW w:w="247" w:type="dxa"/>
          </w:tcPr>
          <w:p w:rsidR="006A739A" w:rsidRPr="00044E23" w:rsidRDefault="006A739A" w:rsidP="003162EC">
            <w:pPr>
              <w:rPr>
                <w:lang w:val="en-GB"/>
              </w:rPr>
            </w:pPr>
          </w:p>
        </w:tc>
        <w:tc>
          <w:tcPr>
            <w:tcW w:w="1509" w:type="dxa"/>
          </w:tcPr>
          <w:p w:rsidR="006A739A" w:rsidRPr="00044E23" w:rsidRDefault="006A739A" w:rsidP="006A739A">
            <w:pPr>
              <w:jc w:val="right"/>
              <w:rPr>
                <w:b w:val="0"/>
                <w:lang w:val="en-GB"/>
              </w:rPr>
            </w:pPr>
            <w:r w:rsidRPr="00044E23">
              <w:rPr>
                <w:lang w:val="en-GB"/>
              </w:rPr>
              <w:t>Costs</w:t>
            </w:r>
          </w:p>
        </w:tc>
      </w:tr>
      <w:tr w:rsidR="006A739A" w:rsidRPr="00044E23" w:rsidTr="006A739A">
        <w:tc>
          <w:tcPr>
            <w:tcW w:w="6634" w:type="dxa"/>
          </w:tcPr>
          <w:p w:rsidR="006A739A" w:rsidRPr="00044E23" w:rsidRDefault="006A739A" w:rsidP="006A739A">
            <w:pPr>
              <w:jc w:val="left"/>
              <w:rPr>
                <w:lang w:val="en-GB"/>
              </w:rPr>
            </w:pPr>
            <w:r w:rsidRPr="00044E23">
              <w:rPr>
                <w:lang w:val="en-GB"/>
              </w:rPr>
              <w:t>Administrative burden (AB)</w:t>
            </w:r>
          </w:p>
        </w:tc>
        <w:tc>
          <w:tcPr>
            <w:tcW w:w="247" w:type="dxa"/>
            <w:tcBorders>
              <w:right w:val="nil"/>
            </w:tcBorders>
          </w:tcPr>
          <w:p w:rsidR="006A739A" w:rsidRPr="00044E23" w:rsidRDefault="006A739A" w:rsidP="006A739A">
            <w:pPr>
              <w:jc w:val="left"/>
              <w:rPr>
                <w:lang w:val="en-GB"/>
              </w:rPr>
            </w:pPr>
            <w:r w:rsidRPr="00044E23">
              <w:rPr>
                <w:lang w:val="en-GB"/>
              </w:rPr>
              <w:t>€</w:t>
            </w:r>
          </w:p>
        </w:tc>
        <w:tc>
          <w:tcPr>
            <w:tcW w:w="1509" w:type="dxa"/>
            <w:tcBorders>
              <w:top w:val="single" w:sz="4" w:space="0" w:color="auto"/>
              <w:left w:val="nil"/>
            </w:tcBorders>
          </w:tcPr>
          <w:p w:rsidR="006A739A" w:rsidRPr="00044E23" w:rsidRDefault="0056035E" w:rsidP="003162EC">
            <w:pPr>
              <w:jc w:val="right"/>
              <w:rPr>
                <w:lang w:val="en-GB"/>
              </w:rPr>
            </w:pPr>
            <w:r w:rsidRPr="00044E23">
              <w:rPr>
                <w:lang w:val="en-GB"/>
              </w:rPr>
              <w:t>1,726,363</w:t>
            </w:r>
          </w:p>
        </w:tc>
      </w:tr>
      <w:tr w:rsidR="006A739A" w:rsidRPr="00044E23" w:rsidTr="006A739A">
        <w:tc>
          <w:tcPr>
            <w:tcW w:w="6634" w:type="dxa"/>
            <w:tcBorders>
              <w:bottom w:val="single" w:sz="4" w:space="0" w:color="auto"/>
            </w:tcBorders>
          </w:tcPr>
          <w:p w:rsidR="006A739A" w:rsidRPr="00044E23" w:rsidRDefault="006A739A" w:rsidP="00E16809">
            <w:pPr>
              <w:rPr>
                <w:lang w:val="en-GB"/>
              </w:rPr>
            </w:pPr>
            <w:r w:rsidRPr="00044E23">
              <w:rPr>
                <w:lang w:val="en-GB"/>
              </w:rPr>
              <w:t>Compliance costs (CC)</w:t>
            </w:r>
          </w:p>
        </w:tc>
        <w:tc>
          <w:tcPr>
            <w:tcW w:w="247" w:type="dxa"/>
            <w:tcBorders>
              <w:bottom w:val="single" w:sz="4" w:space="0" w:color="auto"/>
              <w:right w:val="nil"/>
            </w:tcBorders>
          </w:tcPr>
          <w:p w:rsidR="006A739A" w:rsidRPr="00044E23" w:rsidRDefault="006A739A" w:rsidP="006A739A">
            <w:pPr>
              <w:jc w:val="left"/>
              <w:rPr>
                <w:lang w:val="en-GB"/>
              </w:rPr>
            </w:pPr>
            <w:r w:rsidRPr="00044E23">
              <w:rPr>
                <w:lang w:val="en-GB"/>
              </w:rPr>
              <w:t>€</w:t>
            </w:r>
          </w:p>
        </w:tc>
        <w:tc>
          <w:tcPr>
            <w:tcW w:w="1509" w:type="dxa"/>
            <w:tcBorders>
              <w:left w:val="nil"/>
              <w:bottom w:val="single" w:sz="4" w:space="0" w:color="auto"/>
            </w:tcBorders>
          </w:tcPr>
          <w:p w:rsidR="006A739A" w:rsidRPr="00044E23" w:rsidRDefault="0056035E" w:rsidP="003162EC">
            <w:pPr>
              <w:jc w:val="right"/>
              <w:rPr>
                <w:lang w:val="en-GB"/>
              </w:rPr>
            </w:pPr>
            <w:r w:rsidRPr="00044E23">
              <w:rPr>
                <w:lang w:val="en-GB"/>
              </w:rPr>
              <w:t>70,804,716</w:t>
            </w:r>
          </w:p>
        </w:tc>
      </w:tr>
      <w:tr w:rsidR="006A739A" w:rsidRPr="00044E23" w:rsidTr="006A739A">
        <w:tc>
          <w:tcPr>
            <w:tcW w:w="6634" w:type="dxa"/>
            <w:tcBorders>
              <w:top w:val="single" w:sz="4" w:space="0" w:color="auto"/>
              <w:bottom w:val="single" w:sz="4" w:space="0" w:color="000000" w:themeColor="text1"/>
            </w:tcBorders>
          </w:tcPr>
          <w:p w:rsidR="006A739A" w:rsidRPr="00044E23" w:rsidRDefault="006A739A" w:rsidP="003162EC">
            <w:pPr>
              <w:jc w:val="left"/>
              <w:rPr>
                <w:b/>
                <w:lang w:val="en-GB"/>
              </w:rPr>
            </w:pPr>
            <w:r w:rsidRPr="00044E23">
              <w:rPr>
                <w:b/>
                <w:lang w:val="en-GB"/>
              </w:rPr>
              <w:t>Total</w:t>
            </w:r>
          </w:p>
        </w:tc>
        <w:tc>
          <w:tcPr>
            <w:tcW w:w="247" w:type="dxa"/>
            <w:tcBorders>
              <w:top w:val="single" w:sz="4" w:space="0" w:color="auto"/>
              <w:bottom w:val="single" w:sz="4" w:space="0" w:color="000000" w:themeColor="text1"/>
              <w:right w:val="nil"/>
            </w:tcBorders>
          </w:tcPr>
          <w:p w:rsidR="006A739A" w:rsidRPr="00044E23" w:rsidRDefault="006A739A" w:rsidP="006A739A">
            <w:pPr>
              <w:jc w:val="left"/>
              <w:rPr>
                <w:b/>
                <w:lang w:val="en-GB"/>
              </w:rPr>
            </w:pPr>
            <w:r w:rsidRPr="00044E23">
              <w:rPr>
                <w:b/>
                <w:lang w:val="en-GB"/>
              </w:rPr>
              <w:t>€</w:t>
            </w:r>
          </w:p>
        </w:tc>
        <w:tc>
          <w:tcPr>
            <w:tcW w:w="1509" w:type="dxa"/>
            <w:tcBorders>
              <w:top w:val="single" w:sz="4" w:space="0" w:color="auto"/>
              <w:left w:val="nil"/>
              <w:bottom w:val="single" w:sz="4" w:space="0" w:color="000000" w:themeColor="text1"/>
            </w:tcBorders>
          </w:tcPr>
          <w:p w:rsidR="006A739A" w:rsidRPr="00044E23" w:rsidRDefault="0056035E" w:rsidP="003162EC">
            <w:pPr>
              <w:jc w:val="right"/>
              <w:rPr>
                <w:b/>
                <w:lang w:val="en-GB"/>
              </w:rPr>
            </w:pPr>
            <w:r w:rsidRPr="00044E23">
              <w:rPr>
                <w:b/>
                <w:lang w:val="en-GB"/>
              </w:rPr>
              <w:t>72,531,079</w:t>
            </w:r>
          </w:p>
        </w:tc>
      </w:tr>
    </w:tbl>
    <w:p w:rsidR="0090137D" w:rsidRPr="00044E23" w:rsidRDefault="0090137D" w:rsidP="003A6B87">
      <w:pPr>
        <w:rPr>
          <w:lang w:val="en-GB"/>
        </w:rPr>
      </w:pPr>
    </w:p>
    <w:p w:rsidR="00BE4091" w:rsidRPr="00044E23" w:rsidRDefault="00B47A76" w:rsidP="003A6B87">
      <w:pPr>
        <w:rPr>
          <w:lang w:val="en-GB"/>
        </w:rPr>
      </w:pPr>
      <w:r w:rsidRPr="00044E23">
        <w:rPr>
          <w:lang w:val="en-GB"/>
        </w:rPr>
        <w:t>When the proposed European Data Protection Regulation enters into force, the total cost to Dutch businesses will increase from €72,531,079 to at least €1,125,489,480. The total quantifiable impact of the proposed European Data Protection Regulation on the cost to Dutch businesses is therefore an increase of at least €1,469,064,480.</w:t>
      </w:r>
    </w:p>
    <w:p w:rsidR="006A069D" w:rsidRPr="00044E23" w:rsidRDefault="006A069D" w:rsidP="006A069D">
      <w:pPr>
        <w:rPr>
          <w:lang w:val="en-GB"/>
        </w:rPr>
      </w:pPr>
      <w:r w:rsidRPr="00044E23">
        <w:rPr>
          <w:lang w:val="en-GB"/>
        </w:rPr>
        <w:t>When assuming the second scenario (high estimate) in relation to the documentation obligation under Article 28 of the proposed EDPR, the total cost increases to €1,469,064,480. The total quantifiable impact of the proposed European Data Protection Regulation on the cost to Dutch businesses is therefore an increase of at least €1,396,533,401.</w:t>
      </w:r>
    </w:p>
    <w:p w:rsidR="006A069D" w:rsidRPr="00044E23" w:rsidRDefault="006A069D" w:rsidP="003A6B87">
      <w:pPr>
        <w:rPr>
          <w:lang w:val="en-GB"/>
        </w:rPr>
      </w:pPr>
    </w:p>
    <w:p w:rsidR="00BE4091" w:rsidRPr="00044E23" w:rsidRDefault="00BE4091" w:rsidP="003A6B87">
      <w:pPr>
        <w:rPr>
          <w:lang w:val="en-GB"/>
        </w:rPr>
      </w:pPr>
    </w:p>
    <w:p w:rsidR="007A0B0D" w:rsidRPr="00044E23" w:rsidRDefault="007A0B0D" w:rsidP="007A0B0D">
      <w:pPr>
        <w:pStyle w:val="Beschriftung"/>
        <w:rPr>
          <w:b/>
          <w:lang w:val="en-GB"/>
        </w:rPr>
      </w:pPr>
    </w:p>
    <w:p w:rsidR="007A0B0D" w:rsidRPr="00044E23" w:rsidRDefault="007A0B0D" w:rsidP="007A0B0D">
      <w:pPr>
        <w:pStyle w:val="berschrift1"/>
        <w:rPr>
          <w:lang w:val="en-GB"/>
        </w:rPr>
        <w:sectPr w:rsidR="007A0B0D" w:rsidRPr="00044E23" w:rsidSect="00A6566D">
          <w:type w:val="oddPage"/>
          <w:pgSz w:w="11906" w:h="16838" w:code="9"/>
          <w:pgMar w:top="2835" w:right="1588" w:bottom="851" w:left="1985" w:header="851" w:footer="567" w:gutter="0"/>
          <w:cols w:space="708"/>
          <w:docGrid w:linePitch="360"/>
        </w:sectPr>
      </w:pPr>
    </w:p>
    <w:p w:rsidR="007A0B0D" w:rsidRPr="00044E23" w:rsidRDefault="00191449" w:rsidP="007A0B0D">
      <w:pPr>
        <w:pStyle w:val="berschrift1"/>
        <w:rPr>
          <w:lang w:val="en-GB"/>
        </w:rPr>
      </w:pPr>
      <w:bookmarkStart w:id="15" w:name="_Toc360101918"/>
      <w:r w:rsidRPr="00044E23">
        <w:rPr>
          <w:lang w:val="en-GB"/>
        </w:rPr>
        <w:t>Comparison with other studies</w:t>
      </w:r>
      <w:bookmarkEnd w:id="15"/>
    </w:p>
    <w:p w:rsidR="007A0B0D" w:rsidRPr="00044E23" w:rsidRDefault="00E758FF" w:rsidP="007A0B0D">
      <w:pPr>
        <w:pStyle w:val="berschrift2"/>
        <w:rPr>
          <w:lang w:val="en-GB"/>
        </w:rPr>
      </w:pPr>
      <w:bookmarkStart w:id="16" w:name="_Toc360101919"/>
      <w:r w:rsidRPr="00044E23">
        <w:rPr>
          <w:lang w:val="en-GB"/>
        </w:rPr>
        <w:t>The impact of the Data Protection Regulation in the EU</w:t>
      </w:r>
      <w:bookmarkEnd w:id="16"/>
    </w:p>
    <w:p w:rsidR="007A0B0D" w:rsidRPr="00044E23" w:rsidRDefault="001636E6" w:rsidP="007A0B0D">
      <w:pPr>
        <w:rPr>
          <w:lang w:val="en-GB"/>
        </w:rPr>
      </w:pPr>
      <w:r w:rsidRPr="00044E23">
        <w:rPr>
          <w:lang w:val="en-GB"/>
        </w:rPr>
        <w:t>The report on the Impact of the Data Protection Regulation in the EU</w:t>
      </w:r>
      <w:r w:rsidR="00776952" w:rsidRPr="00044E23">
        <w:rPr>
          <w:rStyle w:val="Funotenzeichen"/>
          <w:lang w:val="en-GB"/>
        </w:rPr>
        <w:footnoteReference w:id="12"/>
      </w:r>
      <w:r w:rsidR="00C30982" w:rsidRPr="00044E23">
        <w:rPr>
          <w:lang w:val="en-GB"/>
        </w:rPr>
        <w:t xml:space="preserve"> </w:t>
      </w:r>
      <w:r w:rsidRPr="00044E23">
        <w:rPr>
          <w:lang w:val="en-GB"/>
        </w:rPr>
        <w:t>presents the findings of a study into the impact of the proposed European Data Protection Regulation on small and medium-sized businesses (SMEs).</w:t>
      </w:r>
    </w:p>
    <w:p w:rsidR="00A6479F" w:rsidRPr="00044E23" w:rsidRDefault="00A6479F" w:rsidP="00A6479F">
      <w:pPr>
        <w:pStyle w:val="berschrift4"/>
        <w:rPr>
          <w:lang w:val="en-GB"/>
        </w:rPr>
      </w:pPr>
      <w:r w:rsidRPr="00044E23">
        <w:rPr>
          <w:lang w:val="en-GB"/>
        </w:rPr>
        <w:t>Assumptions</w:t>
      </w:r>
    </w:p>
    <w:p w:rsidR="00B14CB3" w:rsidRPr="00044E23" w:rsidRDefault="006A3953" w:rsidP="00120E2D">
      <w:pPr>
        <w:rPr>
          <w:lang w:val="en-GB"/>
        </w:rPr>
      </w:pPr>
      <w:r w:rsidRPr="00044E23">
        <w:rPr>
          <w:lang w:val="en-GB"/>
        </w:rPr>
        <w:t>The study that led to the report on the Impact of the Data Protection Regulation in the EU and the Evaluation of the EU Data Protection Regulation both carry out a legal analysis of the obligations (and categories of obligations) contained in the proposed European Data Protection Regulation. In both studies, this analysis formed the basis for the calculation of the costs.</w:t>
      </w:r>
    </w:p>
    <w:p w:rsidR="00120E2D" w:rsidRPr="00044E23" w:rsidRDefault="00B14CB3" w:rsidP="00120E2D">
      <w:pPr>
        <w:rPr>
          <w:lang w:val="en-GB"/>
        </w:rPr>
      </w:pPr>
      <w:r w:rsidRPr="00044E23">
        <w:rPr>
          <w:lang w:val="en-GB"/>
        </w:rPr>
        <w:t>However, there are also some key differences in the assumptions made in the two reports. For instance, in the Impact of the Data Protection Regulation in the EU:</w:t>
      </w:r>
    </w:p>
    <w:p w:rsidR="00DA073B" w:rsidRPr="00044E23" w:rsidRDefault="00120E2D" w:rsidP="00120E2D">
      <w:pPr>
        <w:pStyle w:val="Listenabsatz"/>
        <w:numPr>
          <w:ilvl w:val="0"/>
          <w:numId w:val="24"/>
        </w:numPr>
        <w:ind w:left="357" w:hanging="357"/>
        <w:rPr>
          <w:lang w:val="en-GB"/>
        </w:rPr>
      </w:pPr>
      <w:r w:rsidRPr="00044E23">
        <w:rPr>
          <w:lang w:val="en-GB"/>
        </w:rPr>
        <w:t>The study was specifically focused on SMEs and therefore disregarded large businesses.</w:t>
      </w:r>
    </w:p>
    <w:p w:rsidR="00DA073B" w:rsidRPr="00044E23" w:rsidRDefault="00DA073B" w:rsidP="00120E2D">
      <w:pPr>
        <w:pStyle w:val="Listenabsatz"/>
        <w:numPr>
          <w:ilvl w:val="0"/>
          <w:numId w:val="24"/>
        </w:numPr>
        <w:ind w:left="357" w:hanging="357"/>
        <w:rPr>
          <w:lang w:val="en-GB"/>
        </w:rPr>
      </w:pPr>
      <w:r w:rsidRPr="00044E23">
        <w:rPr>
          <w:lang w:val="en-GB"/>
        </w:rPr>
        <w:t>A number of specific branches of industry were highlighted. A separate calculation was made for each of these industries.</w:t>
      </w:r>
    </w:p>
    <w:p w:rsidR="00120E2D" w:rsidRPr="00044E23" w:rsidRDefault="00DA073B" w:rsidP="00120E2D">
      <w:pPr>
        <w:pStyle w:val="Listenabsatz"/>
        <w:numPr>
          <w:ilvl w:val="0"/>
          <w:numId w:val="24"/>
        </w:numPr>
        <w:ind w:left="357" w:hanging="357"/>
        <w:rPr>
          <w:lang w:val="en-GB"/>
        </w:rPr>
      </w:pPr>
      <w:r w:rsidRPr="00044E23">
        <w:rPr>
          <w:lang w:val="en-GB"/>
        </w:rPr>
        <w:t>The study was concerned with businesses across the entire EU.</w:t>
      </w:r>
    </w:p>
    <w:p w:rsidR="00125687" w:rsidRPr="00044E23" w:rsidRDefault="00120E2D" w:rsidP="00120E2D">
      <w:pPr>
        <w:pStyle w:val="Listenabsatz"/>
        <w:numPr>
          <w:ilvl w:val="0"/>
          <w:numId w:val="24"/>
        </w:numPr>
        <w:ind w:left="357" w:hanging="357"/>
        <w:rPr>
          <w:lang w:val="en-GB"/>
        </w:rPr>
      </w:pPr>
      <w:r w:rsidRPr="00044E23">
        <w:rPr>
          <w:lang w:val="en-GB"/>
        </w:rPr>
        <w:t>The study was an impact assessment of the European Data Protection Regulation and provides no information on the costs in the current situation.</w:t>
      </w:r>
    </w:p>
    <w:p w:rsidR="00DA073B" w:rsidRPr="00044E23" w:rsidRDefault="00DA073B" w:rsidP="00120E2D">
      <w:pPr>
        <w:pStyle w:val="Listenabsatz"/>
        <w:numPr>
          <w:ilvl w:val="0"/>
          <w:numId w:val="24"/>
        </w:numPr>
        <w:ind w:left="357" w:hanging="357"/>
        <w:rPr>
          <w:lang w:val="en-GB"/>
        </w:rPr>
      </w:pPr>
      <w:r w:rsidRPr="00044E23">
        <w:rPr>
          <w:lang w:val="en-GB"/>
        </w:rPr>
        <w:t>The study by the European Commission into the impact of the proposed Data Protection Regulation</w:t>
      </w:r>
      <w:r w:rsidR="0052395E" w:rsidRPr="00044E23">
        <w:rPr>
          <w:rStyle w:val="Funotenzeichen"/>
          <w:lang w:val="en-GB"/>
        </w:rPr>
        <w:footnoteReference w:id="13"/>
      </w:r>
      <w:r w:rsidRPr="00044E23">
        <w:rPr>
          <w:lang w:val="en-GB"/>
        </w:rPr>
        <w:t xml:space="preserve"> was taken as the starting point for the calculations. The results of the study were then amended based on a third-party study.</w:t>
      </w:r>
    </w:p>
    <w:p w:rsidR="00A6479F" w:rsidRPr="00044E23" w:rsidRDefault="00A6479F" w:rsidP="00A6479F">
      <w:pPr>
        <w:pStyle w:val="berschrift4"/>
        <w:rPr>
          <w:lang w:val="en-GB"/>
        </w:rPr>
      </w:pPr>
      <w:r w:rsidRPr="00044E23">
        <w:rPr>
          <w:lang w:val="en-GB"/>
        </w:rPr>
        <w:t>Results</w:t>
      </w:r>
    </w:p>
    <w:p w:rsidR="00951FAF" w:rsidRPr="00044E23" w:rsidRDefault="00EC38C5" w:rsidP="007A0B0D">
      <w:pPr>
        <w:rPr>
          <w:lang w:val="en-GB"/>
        </w:rPr>
      </w:pPr>
      <w:r w:rsidRPr="00044E23">
        <w:rPr>
          <w:lang w:val="en-GB"/>
        </w:rPr>
        <w:t>According to the report on the Impact of the Data Protection Regulation in the EU, the cost to an average SME increases by between €3,000 and €7,200 per year, depending on the branch of industry. It was also calculated that these costs represent between 16% and 40% of the annual IT budget of these SMEs. The costs referred to are those directly arising from the Regulation.</w:t>
      </w:r>
    </w:p>
    <w:p w:rsidR="004360BB" w:rsidRPr="00044E23" w:rsidRDefault="004360BB" w:rsidP="007A0B0D">
      <w:pPr>
        <w:rPr>
          <w:lang w:val="en-GB"/>
        </w:rPr>
      </w:pPr>
      <w:r w:rsidRPr="00044E23">
        <w:rPr>
          <w:lang w:val="en-GB"/>
        </w:rPr>
        <w:t>Based on these calculations, an estimate is also made of the indirect impact of the proposed European Data Protection Regulation, i.e. its impact on employment growth. It is estimated that the Regulation would have a substantial negative impact on employment growth. This negative impact would be greater in sectors where the direct costs arising from the Regulation are higher, such as sectors where businesses are obliged to designate a data protection officer.</w:t>
      </w:r>
    </w:p>
    <w:p w:rsidR="00C34381" w:rsidRPr="00044E23" w:rsidRDefault="00C34381">
      <w:pPr>
        <w:ind w:left="-851"/>
        <w:jc w:val="left"/>
        <w:rPr>
          <w:rFonts w:eastAsiaTheme="majorEastAsia" w:cstheme="majorBidi"/>
          <w:b/>
          <w:bCs/>
          <w:iCs/>
          <w:color w:val="000080"/>
          <w:lang w:val="en-GB"/>
        </w:rPr>
      </w:pPr>
      <w:r w:rsidRPr="00044E23">
        <w:rPr>
          <w:lang w:val="en-GB"/>
        </w:rPr>
        <w:br w:type="page"/>
      </w:r>
    </w:p>
    <w:p w:rsidR="0052210D" w:rsidRPr="00044E23" w:rsidRDefault="0052210D" w:rsidP="0052210D">
      <w:pPr>
        <w:pStyle w:val="berschrift4"/>
        <w:rPr>
          <w:lang w:val="en-GB"/>
        </w:rPr>
      </w:pPr>
      <w:r w:rsidRPr="00044E23">
        <w:rPr>
          <w:lang w:val="en-GB"/>
        </w:rPr>
        <w:t>Difference</w:t>
      </w:r>
    </w:p>
    <w:p w:rsidR="00297131" w:rsidRPr="00044E23" w:rsidRDefault="00297131" w:rsidP="007A0B0D">
      <w:pPr>
        <w:rPr>
          <w:lang w:val="en-GB"/>
        </w:rPr>
      </w:pPr>
      <w:r w:rsidRPr="00044E23">
        <w:rPr>
          <w:lang w:val="en-GB"/>
        </w:rPr>
        <w:t>The costs calculated in the study that led to the report on the Impact of the Data Protection Regulation in the EU are higher than the costs calculated in the Evaluation of the EU Data Protection Regulation. If the results from the report on the Impact of the Data Protection Regulation in the EU were applied to the Dutch situation, the increase in the cost to the Dutch SME sector would be between €2,607,000,000 and €6,256,800,000 per year. However, the costs for all Dutch businesses increase according to the Evaluation of the EU Data Protection Regulation to between €1,052,958,401 and €1,396,533,401, as set out in Chapter 5.</w:t>
      </w:r>
    </w:p>
    <w:p w:rsidR="0047000C" w:rsidRPr="00044E23" w:rsidRDefault="00445840" w:rsidP="007A0B0D">
      <w:pPr>
        <w:rPr>
          <w:lang w:val="en-GB"/>
        </w:rPr>
      </w:pPr>
      <w:r w:rsidRPr="00044E23">
        <w:rPr>
          <w:lang w:val="en-GB"/>
        </w:rPr>
        <w:t>The aforementioned differences in the assumptions are not the only explanation of the difference in the results. The difference in the results can also be explained by the fact that the study that led to the report on the Impact of the Data Protection Regulation in the EU quantified the impact of more obligations than the Evaluation of the EU Data Protection Regulation did. For instance, it quantified obligations for which the costs were not separately included in the calculations in the Evaluation of the EU Data Protection Regulation. Specifically, this concerns:</w:t>
      </w:r>
    </w:p>
    <w:p w:rsidR="0052210D" w:rsidRPr="00044E23" w:rsidRDefault="0047000C" w:rsidP="0047000C">
      <w:pPr>
        <w:pStyle w:val="Listenabsatz"/>
        <w:numPr>
          <w:ilvl w:val="0"/>
          <w:numId w:val="24"/>
        </w:numPr>
        <w:ind w:left="357" w:hanging="357"/>
        <w:rPr>
          <w:rFonts w:ascii="MingLiU-ExtB" w:eastAsia="MingLiU-ExtB" w:hAnsi="MingLiU-ExtB" w:cs="MingLiU-ExtB"/>
          <w:lang w:val="en-GB"/>
        </w:rPr>
      </w:pPr>
      <w:r w:rsidRPr="00044E23">
        <w:rPr>
          <w:lang w:val="en-GB"/>
        </w:rPr>
        <w:t>Articles 5, 19 and 20 relating to minimising the processing of personal data and measures based on profiling.</w:t>
      </w:r>
    </w:p>
    <w:p w:rsidR="0047000C" w:rsidRPr="00044E23" w:rsidRDefault="0047000C" w:rsidP="0047000C">
      <w:pPr>
        <w:pStyle w:val="Listenabsatz"/>
        <w:numPr>
          <w:ilvl w:val="0"/>
          <w:numId w:val="24"/>
        </w:numPr>
        <w:ind w:left="357" w:hanging="357"/>
        <w:rPr>
          <w:rFonts w:ascii="MingLiU-ExtB" w:eastAsia="MingLiU-ExtB" w:hAnsi="MingLiU-ExtB" w:cs="MingLiU-ExtB"/>
          <w:lang w:val="en-GB"/>
        </w:rPr>
      </w:pPr>
      <w:r w:rsidRPr="00044E23">
        <w:rPr>
          <w:lang w:val="en-GB"/>
        </w:rPr>
        <w:t>Article 7 relating to the conditions for consent.</w:t>
      </w:r>
    </w:p>
    <w:p w:rsidR="00445840" w:rsidRPr="00044E23" w:rsidRDefault="00445840" w:rsidP="0047000C">
      <w:pPr>
        <w:pStyle w:val="Listenabsatz"/>
        <w:numPr>
          <w:ilvl w:val="0"/>
          <w:numId w:val="24"/>
        </w:numPr>
        <w:ind w:left="357" w:hanging="357"/>
        <w:rPr>
          <w:rFonts w:ascii="MingLiU-ExtB" w:eastAsia="MingLiU-ExtB" w:hAnsi="MingLiU-ExtB" w:cs="MingLiU-ExtB"/>
          <w:lang w:val="en-GB"/>
        </w:rPr>
      </w:pPr>
      <w:r w:rsidRPr="00044E23">
        <w:rPr>
          <w:lang w:val="en-GB"/>
        </w:rPr>
        <w:t>Article 8 relating to the processing of personal data of a child.</w:t>
      </w:r>
    </w:p>
    <w:p w:rsidR="00445840" w:rsidRPr="00044E23" w:rsidRDefault="00445840" w:rsidP="0047000C">
      <w:pPr>
        <w:pStyle w:val="Listenabsatz"/>
        <w:numPr>
          <w:ilvl w:val="0"/>
          <w:numId w:val="24"/>
        </w:numPr>
        <w:ind w:left="357" w:hanging="357"/>
        <w:rPr>
          <w:rFonts w:ascii="MingLiU-ExtB" w:eastAsia="MingLiU-ExtB" w:hAnsi="MingLiU-ExtB" w:cs="MingLiU-ExtB"/>
          <w:lang w:val="en-GB"/>
        </w:rPr>
      </w:pPr>
      <w:r w:rsidRPr="00044E23">
        <w:rPr>
          <w:lang w:val="en-GB"/>
        </w:rPr>
        <w:t>Article 11 relating to the principle of transparent information and communication.</w:t>
      </w:r>
    </w:p>
    <w:p w:rsidR="00445840" w:rsidRPr="00044E23" w:rsidRDefault="00445840" w:rsidP="0047000C">
      <w:pPr>
        <w:pStyle w:val="Listenabsatz"/>
        <w:numPr>
          <w:ilvl w:val="0"/>
          <w:numId w:val="24"/>
        </w:numPr>
        <w:ind w:left="357" w:hanging="357"/>
        <w:rPr>
          <w:rFonts w:ascii="MingLiU-ExtB" w:eastAsia="MingLiU-ExtB" w:hAnsi="MingLiU-ExtB" w:cs="MingLiU-ExtB"/>
          <w:lang w:val="en-GB"/>
        </w:rPr>
      </w:pPr>
      <w:r w:rsidRPr="00044E23">
        <w:rPr>
          <w:lang w:val="en-GB"/>
        </w:rPr>
        <w:t>Articles 24 and 25 relating to joint data processing controllers and representatives of controllers not established in the EU.</w:t>
      </w:r>
    </w:p>
    <w:p w:rsidR="00C34381" w:rsidRPr="00044E23" w:rsidRDefault="00C34381">
      <w:pPr>
        <w:ind w:left="-851"/>
        <w:jc w:val="left"/>
        <w:rPr>
          <w:rFonts w:eastAsiaTheme="majorEastAsia" w:cstheme="majorBidi"/>
          <w:b/>
          <w:bCs/>
          <w:color w:val="000080"/>
          <w:sz w:val="24"/>
          <w:szCs w:val="26"/>
          <w:lang w:val="en-GB"/>
        </w:rPr>
      </w:pPr>
      <w:r w:rsidRPr="00044E23">
        <w:rPr>
          <w:lang w:val="en-GB"/>
        </w:rPr>
        <w:br w:type="page"/>
      </w:r>
    </w:p>
    <w:p w:rsidR="007A0B0D" w:rsidRPr="00044E23" w:rsidRDefault="00E758FF" w:rsidP="007A0B0D">
      <w:pPr>
        <w:pStyle w:val="berschrift2"/>
        <w:rPr>
          <w:lang w:val="en-GB"/>
        </w:rPr>
      </w:pPr>
      <w:bookmarkStart w:id="17" w:name="_Toc360101920"/>
      <w:r w:rsidRPr="00044E23">
        <w:rPr>
          <w:lang w:val="en-GB"/>
        </w:rPr>
        <w:t>Impact on business of the proposed Data Protection Regulation</w:t>
      </w:r>
      <w:bookmarkEnd w:id="17"/>
    </w:p>
    <w:p w:rsidR="007A0B0D" w:rsidRPr="00044E23" w:rsidRDefault="00BF5A8B" w:rsidP="007A0B0D">
      <w:pPr>
        <w:rPr>
          <w:lang w:val="en-GB"/>
        </w:rPr>
      </w:pPr>
      <w:r w:rsidRPr="00044E23">
        <w:rPr>
          <w:lang w:val="en-GB"/>
        </w:rPr>
        <w:t>In the report on the Impact on Business of the Proposed Data Protection Regulation</w:t>
      </w:r>
      <w:r w:rsidR="00C5237F" w:rsidRPr="00044E23">
        <w:rPr>
          <w:rStyle w:val="Funotenzeichen"/>
          <w:lang w:val="en-GB"/>
        </w:rPr>
        <w:footnoteReference w:id="14"/>
      </w:r>
      <w:r w:rsidRPr="00044E23">
        <w:rPr>
          <w:lang w:val="en-GB"/>
        </w:rPr>
        <w:t xml:space="preserve"> the UK's Ministry of Justice sets out the findings of a study into the impact of the proposed Regulation.</w:t>
      </w:r>
    </w:p>
    <w:p w:rsidR="00AF0682" w:rsidRPr="00044E23" w:rsidRDefault="00AF0682" w:rsidP="00AF0682">
      <w:pPr>
        <w:pStyle w:val="berschrift4"/>
        <w:rPr>
          <w:lang w:val="en-GB"/>
        </w:rPr>
      </w:pPr>
      <w:r w:rsidRPr="00044E23">
        <w:rPr>
          <w:lang w:val="en-GB"/>
        </w:rPr>
        <w:t>Assumptions</w:t>
      </w:r>
    </w:p>
    <w:p w:rsidR="00AF0682" w:rsidRPr="00044E23" w:rsidRDefault="00AF0682" w:rsidP="007A0B0D">
      <w:pPr>
        <w:rPr>
          <w:lang w:val="en-GB"/>
        </w:rPr>
      </w:pPr>
      <w:r w:rsidRPr="00044E23">
        <w:rPr>
          <w:lang w:val="en-GB"/>
        </w:rPr>
        <w:t>Some of the assumptions made by the United Kingdom were also adopted by VNO-NCW, which calculated the costs for businesses in the Netherlands (see § 6.3). Given that the Evaluation of the European Data Protection Regulation also makes some use of the cost calculations of VNO-NCW, some of the assumptions made by the United Kingdom also apply in the Evaluation of the European Data Protection Regulation.</w:t>
      </w:r>
    </w:p>
    <w:p w:rsidR="005A6416" w:rsidRPr="00044E23" w:rsidRDefault="005A6416" w:rsidP="007A0B0D">
      <w:pPr>
        <w:rPr>
          <w:lang w:val="en-GB"/>
        </w:rPr>
      </w:pPr>
      <w:r w:rsidRPr="00044E23">
        <w:rPr>
          <w:lang w:val="en-GB"/>
        </w:rPr>
        <w:t>However, there are also some differences in the assumptions made in the UK study and those made in the Evaluation of the EU Data Protection Regulation. For instance, the UK study:</w:t>
      </w:r>
    </w:p>
    <w:p w:rsidR="00B6727F" w:rsidRPr="00044E23" w:rsidRDefault="00B6727F" w:rsidP="00B6727F">
      <w:pPr>
        <w:pStyle w:val="Listenabsatz"/>
        <w:numPr>
          <w:ilvl w:val="0"/>
          <w:numId w:val="24"/>
        </w:numPr>
        <w:ind w:left="357" w:hanging="357"/>
        <w:rPr>
          <w:lang w:val="en-GB"/>
        </w:rPr>
      </w:pPr>
      <w:r w:rsidRPr="00044E23">
        <w:rPr>
          <w:lang w:val="en-GB"/>
        </w:rPr>
        <w:t>Only looks at businesses in the United Kingdom.</w:t>
      </w:r>
    </w:p>
    <w:p w:rsidR="001B6BE5" w:rsidRPr="00044E23" w:rsidRDefault="001B6BE5" w:rsidP="001B6BE5">
      <w:pPr>
        <w:pStyle w:val="Listenabsatz"/>
        <w:numPr>
          <w:ilvl w:val="0"/>
          <w:numId w:val="24"/>
        </w:numPr>
        <w:ind w:left="357" w:hanging="357"/>
        <w:rPr>
          <w:lang w:val="en-GB"/>
        </w:rPr>
      </w:pPr>
      <w:r w:rsidRPr="00044E23">
        <w:rPr>
          <w:lang w:val="en-GB"/>
        </w:rPr>
        <w:t>The study was an impact assessment of the European Data Protection Regulation and provides no information on the costs in the current situation.</w:t>
      </w:r>
    </w:p>
    <w:p w:rsidR="001B6BE5" w:rsidRPr="00044E23" w:rsidRDefault="001B6BE5" w:rsidP="001B6BE5">
      <w:pPr>
        <w:pStyle w:val="Listenabsatz"/>
        <w:numPr>
          <w:ilvl w:val="0"/>
          <w:numId w:val="24"/>
        </w:numPr>
        <w:ind w:left="357" w:hanging="357"/>
        <w:rPr>
          <w:lang w:val="en-GB"/>
        </w:rPr>
      </w:pPr>
      <w:r w:rsidRPr="00044E23">
        <w:rPr>
          <w:lang w:val="en-GB"/>
        </w:rPr>
        <w:t>The study by the European Commission into the impact of the proposed Data Protection Regulation</w:t>
      </w:r>
      <w:r w:rsidR="0052395E" w:rsidRPr="00044E23">
        <w:rPr>
          <w:rStyle w:val="Funotenzeichen"/>
          <w:lang w:val="en-GB"/>
        </w:rPr>
        <w:footnoteReference w:id="15"/>
      </w:r>
      <w:r w:rsidRPr="00044E23">
        <w:rPr>
          <w:lang w:val="en-GB"/>
        </w:rPr>
        <w:t xml:space="preserve"> was taken as the starting point for the calculations. The results of the study were then amended based on further research.</w:t>
      </w:r>
    </w:p>
    <w:p w:rsidR="004E60BB" w:rsidRPr="00044E23" w:rsidRDefault="004E60BB" w:rsidP="004E60BB">
      <w:pPr>
        <w:pStyle w:val="berschrift4"/>
        <w:rPr>
          <w:lang w:val="en-GB"/>
        </w:rPr>
      </w:pPr>
      <w:r w:rsidRPr="00044E23">
        <w:rPr>
          <w:lang w:val="en-GB"/>
        </w:rPr>
        <w:t>Results</w:t>
      </w:r>
    </w:p>
    <w:p w:rsidR="004E60BB" w:rsidRPr="00044E23" w:rsidRDefault="004E60BB" w:rsidP="004E60BB">
      <w:pPr>
        <w:rPr>
          <w:lang w:val="en-GB"/>
        </w:rPr>
      </w:pPr>
      <w:r w:rsidRPr="00044E23">
        <w:rPr>
          <w:lang w:val="en-GB"/>
        </w:rPr>
        <w:t>According to the UK study, the costs for businesses will increase. The costs were calculated individually for a number of obligations:</w:t>
      </w:r>
    </w:p>
    <w:p w:rsidR="004E60BB" w:rsidRPr="00044E23" w:rsidRDefault="004E60BB" w:rsidP="004E60BB">
      <w:pPr>
        <w:pStyle w:val="Listenabsatz"/>
        <w:numPr>
          <w:ilvl w:val="0"/>
          <w:numId w:val="24"/>
        </w:numPr>
        <w:ind w:left="357" w:hanging="357"/>
        <w:rPr>
          <w:lang w:val="en-GB"/>
        </w:rPr>
      </w:pPr>
      <w:r w:rsidRPr="00044E23">
        <w:rPr>
          <w:lang w:val="en-GB"/>
        </w:rPr>
        <w:t>The notification of a personal data breach will cost businesses between €138,000,000 and €375,000,000 per year.</w:t>
      </w:r>
    </w:p>
    <w:p w:rsidR="004E60BB" w:rsidRPr="00044E23" w:rsidRDefault="004E60BB" w:rsidP="004E60BB">
      <w:pPr>
        <w:pStyle w:val="Listenabsatz"/>
        <w:numPr>
          <w:ilvl w:val="0"/>
          <w:numId w:val="24"/>
        </w:numPr>
        <w:ind w:left="357" w:hanging="357"/>
        <w:rPr>
          <w:lang w:val="en-GB"/>
        </w:rPr>
      </w:pPr>
      <w:r w:rsidRPr="00044E23">
        <w:rPr>
          <w:lang w:val="en-GB"/>
        </w:rPr>
        <w:t>Designation of a data protection officer will costs the SME sector at least €42,000,000 per year.</w:t>
      </w:r>
    </w:p>
    <w:p w:rsidR="00DC58F6" w:rsidRPr="00044E23" w:rsidRDefault="00DC58F6" w:rsidP="004E60BB">
      <w:pPr>
        <w:pStyle w:val="Listenabsatz"/>
        <w:numPr>
          <w:ilvl w:val="0"/>
          <w:numId w:val="24"/>
        </w:numPr>
        <w:ind w:left="357" w:hanging="357"/>
        <w:rPr>
          <w:lang w:val="en-GB"/>
        </w:rPr>
      </w:pPr>
      <w:r w:rsidRPr="00044E23">
        <w:rPr>
          <w:lang w:val="en-GB"/>
        </w:rPr>
        <w:t>Providing confirmation that personal data is processed and providing data to the data subject will cost businesses between €15,000,000 and €47,000,000 a year more than in the current situation.</w:t>
      </w:r>
    </w:p>
    <w:p w:rsidR="005847A7" w:rsidRPr="00044E23" w:rsidRDefault="005847A7" w:rsidP="005847A7">
      <w:pPr>
        <w:pStyle w:val="Listenabsatz"/>
        <w:numPr>
          <w:ilvl w:val="0"/>
          <w:numId w:val="24"/>
        </w:numPr>
        <w:ind w:left="357" w:hanging="357"/>
        <w:rPr>
          <w:lang w:val="en-GB"/>
        </w:rPr>
      </w:pPr>
      <w:r w:rsidRPr="00044E23">
        <w:rPr>
          <w:lang w:val="en-GB"/>
        </w:rPr>
        <w:t>Carrying out data protection impact assessments will cost businesses between €84,000,000 and €170,000,000 per year.</w:t>
      </w:r>
    </w:p>
    <w:p w:rsidR="00CD5AFF" w:rsidRPr="00044E23" w:rsidRDefault="00CD5AFF" w:rsidP="004E60BB">
      <w:pPr>
        <w:pStyle w:val="Listenabsatz"/>
        <w:numPr>
          <w:ilvl w:val="0"/>
          <w:numId w:val="24"/>
        </w:numPr>
        <w:ind w:left="357" w:hanging="357"/>
        <w:rPr>
          <w:lang w:val="en-GB"/>
        </w:rPr>
      </w:pPr>
      <w:r w:rsidRPr="00044E23">
        <w:rPr>
          <w:lang w:val="en-GB"/>
        </w:rPr>
        <w:t>Provision of a copy of data processed in an electronic and structured format and the data portability that this requires will cost businesses at least €125,000 each. This assumes that the obligation in its practical implementation will only apply to businesses of a certain size in the sectors of energy, telecoms, information services, financial services and major retailers.</w:t>
      </w:r>
    </w:p>
    <w:p w:rsidR="00C34381" w:rsidRPr="00044E23" w:rsidRDefault="00C34381">
      <w:pPr>
        <w:ind w:left="-851"/>
        <w:jc w:val="left"/>
        <w:rPr>
          <w:rFonts w:eastAsiaTheme="majorEastAsia" w:cstheme="majorBidi"/>
          <w:b/>
          <w:bCs/>
          <w:iCs/>
          <w:color w:val="000080"/>
          <w:lang w:val="en-GB"/>
        </w:rPr>
      </w:pPr>
      <w:r w:rsidRPr="00044E23">
        <w:rPr>
          <w:lang w:val="en-GB"/>
        </w:rPr>
        <w:br w:type="page"/>
      </w:r>
    </w:p>
    <w:p w:rsidR="00350408" w:rsidRPr="00044E23" w:rsidRDefault="00350408" w:rsidP="00350408">
      <w:pPr>
        <w:pStyle w:val="berschrift4"/>
        <w:rPr>
          <w:lang w:val="en-GB"/>
        </w:rPr>
      </w:pPr>
      <w:r w:rsidRPr="00044E23">
        <w:rPr>
          <w:lang w:val="en-GB"/>
        </w:rPr>
        <w:t>Difference</w:t>
      </w:r>
    </w:p>
    <w:p w:rsidR="00350408" w:rsidRPr="00044E23" w:rsidRDefault="00350408" w:rsidP="00350408">
      <w:pPr>
        <w:rPr>
          <w:lang w:val="en-GB"/>
        </w:rPr>
      </w:pPr>
      <w:r w:rsidRPr="00044E23">
        <w:rPr>
          <w:lang w:val="en-GB"/>
        </w:rPr>
        <w:t>As already stated above, the assumptions made in the UK study do not entirely match the assumptions made in the Evaluation of the EU Data Protection Regulation. This leads to a discrepancy in the calculated results. Furthermore, the calculations of the individual obligations make a number of assumptions that do not match the assumptions made in the Evaluation of the European Data Protection Regulation. Specifically, these are:</w:t>
      </w:r>
    </w:p>
    <w:p w:rsidR="00C925B7" w:rsidRPr="00044E23" w:rsidRDefault="0037230A" w:rsidP="0037230A">
      <w:pPr>
        <w:pStyle w:val="Listenabsatz"/>
        <w:numPr>
          <w:ilvl w:val="0"/>
          <w:numId w:val="24"/>
        </w:numPr>
        <w:ind w:left="357" w:hanging="357"/>
        <w:rPr>
          <w:lang w:val="en-GB"/>
        </w:rPr>
      </w:pPr>
      <w:r w:rsidRPr="00044E23">
        <w:rPr>
          <w:lang w:val="en-GB"/>
        </w:rPr>
        <w:t>The costs incurred for reporting a personal data breach also include the costs for the study that a business conducts into the cause of a data breach. In the Evaluation of the EU Data Protection Regulation, these costs are disregarded and only the costs of submitting the report have been taken into account.</w:t>
      </w:r>
    </w:p>
    <w:p w:rsidR="002E235F" w:rsidRPr="00044E23" w:rsidRDefault="002E235F" w:rsidP="0037230A">
      <w:pPr>
        <w:pStyle w:val="Listenabsatz"/>
        <w:numPr>
          <w:ilvl w:val="0"/>
          <w:numId w:val="24"/>
        </w:numPr>
        <w:ind w:left="357" w:hanging="357"/>
        <w:rPr>
          <w:lang w:val="en-GB"/>
        </w:rPr>
      </w:pPr>
      <w:r w:rsidRPr="00044E23">
        <w:rPr>
          <w:lang w:val="en-GB"/>
        </w:rPr>
        <w:t>The work activities of a data protection officer will cost every SME four hours a year. In the Evaluation of the EU Data Protection Regulation, an assumption of 24 hours a year is made.</w:t>
      </w:r>
    </w:p>
    <w:p w:rsidR="00FD285B" w:rsidRPr="00044E23" w:rsidRDefault="00FD285B" w:rsidP="0037230A">
      <w:pPr>
        <w:pStyle w:val="Listenabsatz"/>
        <w:numPr>
          <w:ilvl w:val="0"/>
          <w:numId w:val="24"/>
        </w:numPr>
        <w:ind w:left="357" w:hanging="357"/>
        <w:rPr>
          <w:lang w:val="en-GB"/>
        </w:rPr>
      </w:pPr>
      <w:r w:rsidRPr="00044E23">
        <w:rPr>
          <w:lang w:val="en-GB"/>
        </w:rPr>
        <w:t>The change meaning it is no longer possible for a data controller to charge a fee for providing confirmation that personal data is processed will lead to an increase in the number of requests of between 25% and 40%. The Evaluation of the EU Data Protection Regulation assumes that the loss of the option to charge a fee will not lead to an increase in the number of requests.</w:t>
      </w:r>
    </w:p>
    <w:p w:rsidR="002A4505" w:rsidRPr="00044E23" w:rsidRDefault="005847A7" w:rsidP="0037230A">
      <w:pPr>
        <w:pStyle w:val="Listenabsatz"/>
        <w:numPr>
          <w:ilvl w:val="0"/>
          <w:numId w:val="24"/>
        </w:numPr>
        <w:ind w:left="357" w:hanging="357"/>
        <w:rPr>
          <w:lang w:val="en-GB"/>
        </w:rPr>
      </w:pPr>
      <w:r w:rsidRPr="00044E23">
        <w:rPr>
          <w:lang w:val="en-GB"/>
        </w:rPr>
        <w:t>Data protection impact assessments are already carried out by 89% of large businesses and 74% of small businesses. The impact of this obligation is therefore only calculated for 11% of large businesses and 26% of small business that do not yet carry out data protection impact assessments. The Evaluation of the EU Data Protection Regulation assumes that almost all large businesses and all small businesses do not yet carry out data protection impact assessments.</w:t>
      </w:r>
    </w:p>
    <w:p w:rsidR="00883232" w:rsidRPr="00044E23" w:rsidRDefault="00883232" w:rsidP="00812060">
      <w:pPr>
        <w:rPr>
          <w:lang w:val="en-GB"/>
        </w:rPr>
      </w:pPr>
      <w:r w:rsidRPr="00044E23">
        <w:rPr>
          <w:lang w:val="en-GB"/>
        </w:rPr>
        <w:t>The UK included the cost of fines in the study. These were estimated at between €78,000,000 and €466,000,000. In the Evaluation of the EU Data Protection Regulation, these costs were not included because it was assumed that the rules would be complied with by all businesses.</w:t>
      </w:r>
    </w:p>
    <w:p w:rsidR="00812060" w:rsidRPr="00044E23" w:rsidRDefault="00883232" w:rsidP="00812060">
      <w:pPr>
        <w:rPr>
          <w:lang w:val="en-GB"/>
        </w:rPr>
      </w:pPr>
      <w:r w:rsidRPr="00044E23">
        <w:rPr>
          <w:lang w:val="en-GB"/>
        </w:rPr>
        <w:t>The UK study does not include the costs relating to a number of obligations that were calculated in the Evaluation of the EU Data Protection Regulation. For instance, the costs arising from the data processing documentation obligation are not taken into account. In the Evaluation of the EU Data Protection Regulation these costs were estimated at between €156,337,500 and €499,912,500. The cost to large businesses for designating a data protection officer were not included in the UK calculations.</w:t>
      </w:r>
    </w:p>
    <w:p w:rsidR="00973827" w:rsidRPr="00044E23" w:rsidRDefault="00973827" w:rsidP="00812060">
      <w:pPr>
        <w:rPr>
          <w:lang w:val="en-GB"/>
        </w:rPr>
      </w:pPr>
    </w:p>
    <w:p w:rsidR="00C34381" w:rsidRPr="00044E23" w:rsidRDefault="00C34381">
      <w:pPr>
        <w:ind w:left="-851"/>
        <w:jc w:val="left"/>
        <w:rPr>
          <w:rFonts w:eastAsiaTheme="majorEastAsia" w:cstheme="majorBidi"/>
          <w:b/>
          <w:bCs/>
          <w:color w:val="000080"/>
          <w:sz w:val="24"/>
          <w:szCs w:val="26"/>
          <w:lang w:val="en-GB"/>
        </w:rPr>
      </w:pPr>
      <w:r w:rsidRPr="00044E23">
        <w:rPr>
          <w:lang w:val="en-GB"/>
        </w:rPr>
        <w:br w:type="page"/>
      </w:r>
    </w:p>
    <w:p w:rsidR="00E758FF" w:rsidRPr="00044E23" w:rsidRDefault="00E758FF" w:rsidP="00E758FF">
      <w:pPr>
        <w:pStyle w:val="berschrift2"/>
        <w:rPr>
          <w:lang w:val="en-GB"/>
        </w:rPr>
      </w:pPr>
      <w:bookmarkStart w:id="18" w:name="_Toc360101921"/>
      <w:r w:rsidRPr="00044E23">
        <w:rPr>
          <w:lang w:val="en-GB"/>
        </w:rPr>
        <w:t>Rough estimate of DPR cost to Dutch business</w:t>
      </w:r>
      <w:bookmarkEnd w:id="18"/>
    </w:p>
    <w:p w:rsidR="000B1BAF" w:rsidRPr="00044E23" w:rsidRDefault="000B1BAF" w:rsidP="00E758FF">
      <w:pPr>
        <w:rPr>
          <w:lang w:val="en-GB"/>
        </w:rPr>
      </w:pPr>
      <w:r w:rsidRPr="00044E23">
        <w:rPr>
          <w:lang w:val="en-GB"/>
        </w:rPr>
        <w:t>In the report entitled 'Rough estimate of DPR cost to Dutch business',</w:t>
      </w:r>
      <w:r w:rsidR="007E427F" w:rsidRPr="00044E23">
        <w:rPr>
          <w:rStyle w:val="Funotenzeichen"/>
          <w:lang w:val="en-GB"/>
        </w:rPr>
        <w:footnoteReference w:id="16"/>
      </w:r>
      <w:r w:rsidRPr="00044E23">
        <w:rPr>
          <w:lang w:val="en-GB"/>
        </w:rPr>
        <w:t>VNO-NCW presents its findings on the impact on the proposed Data Protection Regulation.</w:t>
      </w:r>
    </w:p>
    <w:p w:rsidR="000B1BAF" w:rsidRPr="00044E23" w:rsidRDefault="000B1BAF" w:rsidP="000B1BAF">
      <w:pPr>
        <w:pStyle w:val="berschrift4"/>
        <w:rPr>
          <w:lang w:val="en-GB"/>
        </w:rPr>
      </w:pPr>
      <w:r w:rsidRPr="00044E23">
        <w:rPr>
          <w:lang w:val="en-GB"/>
        </w:rPr>
        <w:t>Assumptions</w:t>
      </w:r>
    </w:p>
    <w:p w:rsidR="00E758FF" w:rsidRPr="00044E23" w:rsidRDefault="000B1BAF" w:rsidP="00E758FF">
      <w:pPr>
        <w:rPr>
          <w:lang w:val="en-GB"/>
        </w:rPr>
      </w:pPr>
      <w:r w:rsidRPr="00044E23">
        <w:rPr>
          <w:lang w:val="en-GB"/>
        </w:rPr>
        <w:t>As the Evaluation of the EU Data Protection Regulation makes use of some aspects of the cost calculations by VNO-NCW, the assumptions made in the two studies have a degree of overlap.</w:t>
      </w:r>
    </w:p>
    <w:p w:rsidR="000B1BAF" w:rsidRPr="00044E23" w:rsidRDefault="000B1BAF" w:rsidP="000B1BAF">
      <w:pPr>
        <w:rPr>
          <w:lang w:val="en-GB"/>
        </w:rPr>
      </w:pPr>
      <w:r w:rsidRPr="00044E23">
        <w:rPr>
          <w:lang w:val="en-GB"/>
        </w:rPr>
        <w:t>However, there are also some differences in the assumptions made in the VNO-NCW study and the Evaluation of the EU Data Protection Regulation. For instance, the VNO-NCW study:</w:t>
      </w:r>
    </w:p>
    <w:p w:rsidR="006348C6" w:rsidRPr="00044E23" w:rsidRDefault="006348C6" w:rsidP="006348C6">
      <w:pPr>
        <w:pStyle w:val="Listenabsatz"/>
        <w:numPr>
          <w:ilvl w:val="0"/>
          <w:numId w:val="24"/>
        </w:numPr>
        <w:ind w:left="357" w:hanging="357"/>
        <w:rPr>
          <w:lang w:val="en-GB"/>
        </w:rPr>
      </w:pPr>
      <w:r w:rsidRPr="00044E23">
        <w:rPr>
          <w:lang w:val="en-GB"/>
        </w:rPr>
        <w:t>The study was a cost assessment of the European Data Protection Regulation and provides no information on the costs in the current situation.</w:t>
      </w:r>
    </w:p>
    <w:p w:rsidR="006348C6" w:rsidRPr="00044E23" w:rsidRDefault="006348C6" w:rsidP="006348C6">
      <w:pPr>
        <w:pStyle w:val="Listenabsatz"/>
        <w:numPr>
          <w:ilvl w:val="0"/>
          <w:numId w:val="24"/>
        </w:numPr>
        <w:ind w:left="357" w:hanging="357"/>
        <w:rPr>
          <w:lang w:val="en-GB"/>
        </w:rPr>
      </w:pPr>
      <w:r w:rsidRPr="00044E23">
        <w:rPr>
          <w:lang w:val="en-GB"/>
        </w:rPr>
        <w:t>The UK study into the impact of the proposed Data Protection Regulation was taken as the starting point for the calculations. The results of the study were then amended based on further research.</w:t>
      </w:r>
    </w:p>
    <w:p w:rsidR="00AF66A9" w:rsidRPr="00044E23" w:rsidRDefault="00AF66A9" w:rsidP="00AF66A9">
      <w:pPr>
        <w:pStyle w:val="berschrift4"/>
        <w:rPr>
          <w:lang w:val="en-GB"/>
        </w:rPr>
      </w:pPr>
      <w:r w:rsidRPr="00044E23">
        <w:rPr>
          <w:lang w:val="en-GB"/>
        </w:rPr>
        <w:t>Results</w:t>
      </w:r>
    </w:p>
    <w:p w:rsidR="000F643E" w:rsidRPr="00044E23" w:rsidRDefault="00AF66A9" w:rsidP="000F643E">
      <w:pPr>
        <w:rPr>
          <w:lang w:val="en-GB"/>
        </w:rPr>
      </w:pPr>
      <w:r w:rsidRPr="00044E23">
        <w:rPr>
          <w:lang w:val="en-GB"/>
        </w:rPr>
        <w:t>According to the report by VNO-NCW, the cost to Dutch industry would be between €1,294,789,300 and €3,733,697,500. The costs were calculated for a number of obligations:</w:t>
      </w:r>
    </w:p>
    <w:p w:rsidR="000F643E" w:rsidRPr="00044E23" w:rsidRDefault="000F643E" w:rsidP="000F643E">
      <w:pPr>
        <w:pStyle w:val="Listenabsatz"/>
        <w:numPr>
          <w:ilvl w:val="0"/>
          <w:numId w:val="24"/>
        </w:numPr>
        <w:ind w:left="357" w:hanging="357"/>
        <w:rPr>
          <w:lang w:val="en-GB"/>
        </w:rPr>
      </w:pPr>
      <w:r w:rsidRPr="00044E23">
        <w:rPr>
          <w:lang w:val="en-GB"/>
        </w:rPr>
        <w:t>The notification of a personal data breach will cost businesses between €270,812,000 and €829,895,000 per year when all breaches have to be reported, and between €14,911,800 and €45,696,750 per year when only breaches that present a high risk to the data subject must be reported.</w:t>
      </w:r>
    </w:p>
    <w:p w:rsidR="00825D90" w:rsidRPr="00044E23" w:rsidRDefault="00825D90" w:rsidP="00825D90">
      <w:pPr>
        <w:pStyle w:val="Listenabsatz"/>
        <w:numPr>
          <w:ilvl w:val="0"/>
          <w:numId w:val="24"/>
        </w:numPr>
        <w:ind w:left="357" w:hanging="357"/>
        <w:rPr>
          <w:lang w:val="en-GB"/>
        </w:rPr>
      </w:pPr>
      <w:r w:rsidRPr="00044E23">
        <w:rPr>
          <w:lang w:val="en-GB"/>
        </w:rPr>
        <w:t>Designation of a data protection officer will cost businesses between €331,010,000 and €801,060,000 per year.</w:t>
      </w:r>
    </w:p>
    <w:p w:rsidR="00193E56" w:rsidRPr="00044E23" w:rsidRDefault="00193E56" w:rsidP="00193E56">
      <w:pPr>
        <w:pStyle w:val="Listenabsatz"/>
        <w:numPr>
          <w:ilvl w:val="0"/>
          <w:numId w:val="24"/>
        </w:numPr>
        <w:ind w:left="357" w:hanging="357"/>
        <w:rPr>
          <w:lang w:val="en-GB"/>
        </w:rPr>
      </w:pPr>
      <w:r w:rsidRPr="00044E23">
        <w:rPr>
          <w:lang w:val="en-GB"/>
        </w:rPr>
        <w:t>Provision of a copy of data processed in an electronic and structured format, and the data portability that this requires will cost businesses at least €130,942,500. This assumes that the obligation in its practical implementation will only apply to businesses of a certain size in the sectors of energy, telecoms, information services, financial services and major retailers. It is also assumed that the number of businesses per sector will be similar to the situation in the United Kingdom. and the calculation therefore makes the assumption that the number of businesses within the stated sectors will be the same as the total number of businesses assumed in the study conducted in the United Kingdom.</w:t>
      </w:r>
    </w:p>
    <w:p w:rsidR="0083778E" w:rsidRPr="00044E23" w:rsidRDefault="0083778E" w:rsidP="0083778E">
      <w:pPr>
        <w:pStyle w:val="Listenabsatz"/>
        <w:numPr>
          <w:ilvl w:val="0"/>
          <w:numId w:val="24"/>
        </w:numPr>
        <w:ind w:left="357" w:hanging="357"/>
        <w:rPr>
          <w:lang w:val="en-GB"/>
        </w:rPr>
      </w:pPr>
      <w:r w:rsidRPr="00044E23">
        <w:rPr>
          <w:lang w:val="en-GB"/>
        </w:rPr>
        <w:t>Confirming whether personal data is processed and providing data to the data subject will cost businesses €68,137,500 per year.</w:t>
      </w:r>
    </w:p>
    <w:p w:rsidR="0083778E" w:rsidRPr="00044E23" w:rsidRDefault="0083778E" w:rsidP="0083778E">
      <w:pPr>
        <w:pStyle w:val="Listenabsatz"/>
        <w:numPr>
          <w:ilvl w:val="0"/>
          <w:numId w:val="24"/>
        </w:numPr>
        <w:ind w:left="357" w:hanging="357"/>
        <w:rPr>
          <w:lang w:val="en-GB"/>
        </w:rPr>
      </w:pPr>
      <w:r w:rsidRPr="00044E23">
        <w:rPr>
          <w:lang w:val="en-GB"/>
        </w:rPr>
        <w:t>Carrying out data protection impact assessments will cost businesses €471,612,500 per year.</w:t>
      </w:r>
    </w:p>
    <w:p w:rsidR="00825D90" w:rsidRPr="00044E23" w:rsidRDefault="00C97A19" w:rsidP="000F643E">
      <w:pPr>
        <w:pStyle w:val="Listenabsatz"/>
        <w:numPr>
          <w:ilvl w:val="0"/>
          <w:numId w:val="24"/>
        </w:numPr>
        <w:ind w:left="357" w:hanging="357"/>
        <w:rPr>
          <w:lang w:val="en-GB"/>
        </w:rPr>
      </w:pPr>
      <w:r w:rsidRPr="00044E23">
        <w:rPr>
          <w:lang w:val="en-GB"/>
        </w:rPr>
        <w:t>Keeping documentation on data processing operations will cost businesses €1,362,750,000 per year if all operations have to be documented, and €266,625,000 per year if all operations that present a high risk to the data subject have to be documented.</w:t>
      </w:r>
    </w:p>
    <w:p w:rsidR="00F83C59" w:rsidRPr="00044E23" w:rsidRDefault="00B21FDD" w:rsidP="00B21FDD">
      <w:pPr>
        <w:rPr>
          <w:lang w:val="en-GB"/>
        </w:rPr>
      </w:pPr>
      <w:r w:rsidRPr="00044E23">
        <w:rPr>
          <w:lang w:val="en-GB"/>
        </w:rPr>
        <w:t>Furthermore, businesses will have to pay fines of €11,550,000 per year or €69,300,000 per year, depending on the question of whether the turnover of micro businesses is included in the turnover of all businesses.</w:t>
      </w:r>
    </w:p>
    <w:p w:rsidR="00B21FDD" w:rsidRPr="00044E23" w:rsidRDefault="00B21FDD" w:rsidP="00B21FDD">
      <w:pPr>
        <w:pStyle w:val="berschrift4"/>
        <w:rPr>
          <w:lang w:val="en-GB"/>
        </w:rPr>
      </w:pPr>
      <w:r w:rsidRPr="00044E23">
        <w:rPr>
          <w:lang w:val="en-GB"/>
        </w:rPr>
        <w:t>Difference</w:t>
      </w:r>
    </w:p>
    <w:p w:rsidR="00B21FDD" w:rsidRPr="00044E23" w:rsidRDefault="00B21FDD" w:rsidP="00B21FDD">
      <w:pPr>
        <w:rPr>
          <w:lang w:val="en-GB"/>
        </w:rPr>
      </w:pPr>
      <w:r w:rsidRPr="00044E23">
        <w:rPr>
          <w:lang w:val="en-GB"/>
        </w:rPr>
        <w:t>The costs calculated in the VNO-NCW study are higher than those calculated in the Evaluation of the EU Data Protection Regulation. According to the report by VNO-NCW, the cost to Dutch industry of the proposed Data Protection Regulation would be between €1,294,789,300 and €3,733,697,500. As indicated in Chapter 5, however, the costs according to the Evaluation of the EU Data Protection Regulation would be between €1,125,489,480 and €1,469,064,480.</w:t>
      </w:r>
    </w:p>
    <w:p w:rsidR="00B21FDD" w:rsidRPr="00044E23" w:rsidRDefault="004460F5" w:rsidP="00B21FDD">
      <w:pPr>
        <w:rPr>
          <w:lang w:val="en-GB"/>
        </w:rPr>
      </w:pPr>
      <w:r w:rsidRPr="00044E23">
        <w:rPr>
          <w:lang w:val="en-GB"/>
        </w:rPr>
        <w:t>The difference in the results can be explained by the fact that VNO-NCW's calculations of the individual obligations made assumptions that do not correspond with the assumptions made in the Evaluation of the EU Data Protection Regulation. Specifically, these are:</w:t>
      </w:r>
    </w:p>
    <w:p w:rsidR="00B21FDD" w:rsidRPr="00044E23" w:rsidRDefault="00B21FDD" w:rsidP="00B21FDD">
      <w:pPr>
        <w:pStyle w:val="Listenabsatz"/>
        <w:numPr>
          <w:ilvl w:val="0"/>
          <w:numId w:val="24"/>
        </w:numPr>
        <w:ind w:left="357" w:hanging="357"/>
        <w:rPr>
          <w:lang w:val="en-GB"/>
        </w:rPr>
      </w:pPr>
      <w:r w:rsidRPr="00044E23">
        <w:rPr>
          <w:lang w:val="en-GB"/>
        </w:rPr>
        <w:t>The costs incurred for reporting a personal data breach also include the costs for the study that a business conducts into the cause of a data breach. In the Evaluation of the EU Data Protection Regulation, these costs are disregarded and only the costs of submitting the report have been taken into account.</w:t>
      </w:r>
    </w:p>
    <w:p w:rsidR="00B21FDD" w:rsidRPr="00044E23" w:rsidRDefault="00B21FDD" w:rsidP="00B21FDD">
      <w:pPr>
        <w:pStyle w:val="Listenabsatz"/>
        <w:numPr>
          <w:ilvl w:val="0"/>
          <w:numId w:val="24"/>
        </w:numPr>
        <w:ind w:left="357" w:hanging="357"/>
        <w:rPr>
          <w:lang w:val="en-GB"/>
        </w:rPr>
      </w:pPr>
      <w:r w:rsidRPr="00044E23">
        <w:rPr>
          <w:lang w:val="en-GB"/>
        </w:rPr>
        <w:t>The work activities of a data protection officer will cost every SME between 4 and 24 hours a year. A large business will have to hire a data protection officer (0.75 to 1.5 FTE) on a salary of €100,000 per year. The Evaluation of the EU Data Protection Regulation assumes that the work activities of a data protection officer will cost every SME 24 hours a year. It also assumes that a large business will have to hire one data protection officer on a salary of €100,000 per year. However, 75% of this salary has already been discounted in the obligations already quantified. The calculations are therefore based on 25% of €100,000 per year. However, the annual training expenditure has been added to this figure.</w:t>
      </w:r>
    </w:p>
    <w:p w:rsidR="00157531" w:rsidRPr="00044E23" w:rsidRDefault="00157531" w:rsidP="00B21FDD">
      <w:pPr>
        <w:pStyle w:val="Listenabsatz"/>
        <w:numPr>
          <w:ilvl w:val="0"/>
          <w:numId w:val="24"/>
        </w:numPr>
        <w:ind w:left="357" w:hanging="357"/>
        <w:rPr>
          <w:lang w:val="en-GB"/>
        </w:rPr>
      </w:pPr>
      <w:r w:rsidRPr="00044E23">
        <w:rPr>
          <w:lang w:val="en-GB"/>
        </w:rPr>
        <w:t>The obligation to provide a copy of data processed in an electronic and structured format and the data portability that this require will apply to 0.1% of all businesses, given that the obligation in the UK also applies to 0.1% of all businesses. This means that the obligation will apply to 873 businesses in the Netherlands. The cost will be €150,000 per business. The Evaluation of the EU Data Protection Regulation assumes that the obligation will apply to 0.07976% of all businesses, given that the obligation in the UK also applies to 0.07976% of all businesses. This means that the obligation will apply to 696 businesses in the Netherlands. The cost will be at least €125,000 per business, although it must be borne in mind that the actual cost could be greater than this.</w:t>
      </w:r>
    </w:p>
    <w:p w:rsidR="003B028E" w:rsidRPr="00044E23" w:rsidRDefault="003B028E" w:rsidP="00B21FDD">
      <w:pPr>
        <w:pStyle w:val="Listenabsatz"/>
        <w:numPr>
          <w:ilvl w:val="0"/>
          <w:numId w:val="24"/>
        </w:numPr>
        <w:ind w:left="357" w:hanging="357"/>
        <w:rPr>
          <w:lang w:val="en-GB"/>
        </w:rPr>
      </w:pPr>
      <w:r w:rsidRPr="00044E23">
        <w:rPr>
          <w:lang w:val="en-GB"/>
        </w:rPr>
        <w:t>The obligation to keep documentation on data processing operations applies to all businesses. Small businesses will carry out five data processing operations per year, while large businesses will carry out 50. If only processing operations that present a high risk to the data subject have to be documented, the obligation will apply to one processing operation per small business and five processing operations per large business. The Evaluation of the EU Data Protection Regulation assumes that the obligation to keep documentation on data processing operations will not apply to businesses with less than 250 employees as long as data processing is an ancillary activity. Two scenarios have been produced for the number of small businesses that process personal data other than as an ancillary activity. It is also assumed that all processing operations must be documented and not just processing operations that expose the data subject to a high risk.</w:t>
      </w:r>
    </w:p>
    <w:p w:rsidR="00C34381" w:rsidRPr="00044E23" w:rsidRDefault="00C34381">
      <w:pPr>
        <w:ind w:left="-851"/>
        <w:jc w:val="left"/>
        <w:rPr>
          <w:lang w:val="en-GB"/>
        </w:rPr>
      </w:pPr>
      <w:r w:rsidRPr="00044E23">
        <w:rPr>
          <w:lang w:val="en-GB"/>
        </w:rPr>
        <w:br w:type="page"/>
      </w:r>
    </w:p>
    <w:p w:rsidR="00883232" w:rsidRPr="00044E23" w:rsidRDefault="00883232" w:rsidP="00E44551">
      <w:pPr>
        <w:rPr>
          <w:lang w:val="en-GB"/>
        </w:rPr>
      </w:pPr>
      <w:r w:rsidRPr="00044E23">
        <w:rPr>
          <w:lang w:val="en-GB"/>
        </w:rPr>
        <w:t>VNO-NCW has included the cost of fines in the study. These are estimated at either €11,500,000 per year or €69,300,000 per year, depending on whether the turnover of micro business is included or not. In the Evaluation of the EU Data Protection Regulation, these costs were not included because it was assumed that the rules would be complied with by all businesses.</w:t>
      </w:r>
    </w:p>
    <w:p w:rsidR="0055596E" w:rsidRPr="00044E23" w:rsidRDefault="00883232" w:rsidP="00E44551">
      <w:pPr>
        <w:rPr>
          <w:lang w:val="en-GB"/>
        </w:rPr>
      </w:pPr>
      <w:r w:rsidRPr="00044E23">
        <w:rPr>
          <w:lang w:val="en-GB"/>
        </w:rPr>
        <w:t>The study by VNO-NCW does not include costs arising from a number of obligations that were taken into account in the Evaluation of the EU Data Protection Regulation. For instance, the costs arising from the obligation to record the performance of data processing operations by a data processor in a contract/legal transaction. Furthermore, the costs arising from a number of information obligations have not been taken into account.</w:t>
      </w:r>
    </w:p>
    <w:p w:rsidR="009D7741" w:rsidRPr="00044E23" w:rsidRDefault="009D7741" w:rsidP="00E44551">
      <w:pPr>
        <w:rPr>
          <w:lang w:val="en-GB"/>
        </w:rPr>
      </w:pPr>
    </w:p>
    <w:p w:rsidR="000B1BAF" w:rsidRPr="00044E23" w:rsidRDefault="000B1BAF" w:rsidP="00AF66A9">
      <w:pPr>
        <w:rPr>
          <w:lang w:val="en-GB"/>
        </w:rPr>
      </w:pPr>
    </w:p>
    <w:p w:rsidR="007A0B0D" w:rsidRPr="00044E23" w:rsidRDefault="007A0B0D" w:rsidP="00335FF4">
      <w:pPr>
        <w:rPr>
          <w:lang w:val="en-GB"/>
        </w:rPr>
      </w:pPr>
    </w:p>
    <w:sectPr w:rsidR="007A0B0D" w:rsidRPr="00044E23" w:rsidSect="00A6566D">
      <w:headerReference w:type="even" r:id="rId20"/>
      <w:headerReference w:type="default" r:id="rId21"/>
      <w:headerReference w:type="first" r:id="rId22"/>
      <w:type w:val="oddPage"/>
      <w:pgSz w:w="11906" w:h="16838" w:code="9"/>
      <w:pgMar w:top="2835" w:right="1588" w:bottom="851" w:left="1985" w:header="851"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8BA" w:rsidRDefault="001C38BA" w:rsidP="005105C7">
      <w:pPr>
        <w:spacing w:before="0" w:after="0" w:line="240" w:lineRule="auto"/>
      </w:pPr>
      <w:r>
        <w:separator/>
      </w:r>
    </w:p>
  </w:endnote>
  <w:endnote w:type="continuationSeparator" w:id="0">
    <w:p w:rsidR="001C38BA" w:rsidRDefault="001C38BA" w:rsidP="005105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IRAKop-envoettabellen"/>
      <w:tblW w:w="9215" w:type="dxa"/>
      <w:tblLook w:val="04A0" w:firstRow="1" w:lastRow="0" w:firstColumn="1" w:lastColumn="0" w:noHBand="0" w:noVBand="1"/>
    </w:tblPr>
    <w:tblGrid>
      <w:gridCol w:w="9215"/>
    </w:tblGrid>
    <w:tr w:rsidR="001C38BA" w:rsidTr="000E7897">
      <w:tc>
        <w:tcPr>
          <w:tcW w:w="9215" w:type="dxa"/>
        </w:tcPr>
        <w:p w:rsidR="001C38BA" w:rsidRDefault="00772565" w:rsidP="006E1F14">
          <w:pPr>
            <w:pStyle w:val="Fuzeile"/>
            <w:jc w:val="left"/>
          </w:pPr>
          <w:r>
            <w:fldChar w:fldCharType="begin"/>
          </w:r>
          <w:r w:rsidR="001C38BA">
            <w:instrText>PAGE   \* MERGEFORMAT</w:instrText>
          </w:r>
          <w:r>
            <w:fldChar w:fldCharType="separate"/>
          </w:r>
          <w:r w:rsidR="00C523D2">
            <w:rPr>
              <w:noProof/>
            </w:rPr>
            <w:t>4</w:t>
          </w:r>
          <w:r>
            <w:fldChar w:fldCharType="end"/>
          </w:r>
          <w:r w:rsidR="001C38BA">
            <w:t>/</w:t>
          </w:r>
          <w:fldSimple w:instr=" NUMPAGES  \* Arabic  \* MERGEFORMAT ">
            <w:r w:rsidR="00C523D2">
              <w:rPr>
                <w:noProof/>
              </w:rPr>
              <w:t>4</w:t>
            </w:r>
          </w:fldSimple>
        </w:p>
      </w:tc>
    </w:tr>
  </w:tbl>
  <w:p w:rsidR="001C38BA" w:rsidRPr="00AF6C5B" w:rsidRDefault="001C38BA" w:rsidP="006E1F1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IRAKop-envoettabellen"/>
      <w:tblW w:w="9215" w:type="dxa"/>
      <w:tblLook w:val="04A0" w:firstRow="1" w:lastRow="0" w:firstColumn="1" w:lastColumn="0" w:noHBand="0" w:noVBand="1"/>
    </w:tblPr>
    <w:tblGrid>
      <w:gridCol w:w="8222"/>
      <w:gridCol w:w="993"/>
    </w:tblGrid>
    <w:tr w:rsidR="001C38BA" w:rsidTr="00D47ACB">
      <w:tc>
        <w:tcPr>
          <w:tcW w:w="8222" w:type="dxa"/>
        </w:tcPr>
        <w:p w:rsidR="001C38BA" w:rsidRDefault="001C38BA" w:rsidP="00AF6C5B">
          <w:pPr>
            <w:pStyle w:val="Fuzeile"/>
          </w:pPr>
          <w:r>
            <w:t>SIRA Consulting</w:t>
          </w:r>
        </w:p>
      </w:tc>
      <w:tc>
        <w:tcPr>
          <w:tcW w:w="993" w:type="dxa"/>
        </w:tcPr>
        <w:p w:rsidR="001C38BA" w:rsidRDefault="00772565" w:rsidP="00D47ACB">
          <w:pPr>
            <w:pStyle w:val="Fuzeile"/>
            <w:jc w:val="right"/>
          </w:pPr>
          <w:r>
            <w:fldChar w:fldCharType="begin"/>
          </w:r>
          <w:r w:rsidR="001C38BA">
            <w:instrText>PAGE   \* MERGEFORMAT</w:instrText>
          </w:r>
          <w:r>
            <w:fldChar w:fldCharType="separate"/>
          </w:r>
          <w:r w:rsidR="00A34F2A">
            <w:rPr>
              <w:noProof/>
            </w:rPr>
            <w:t>35</w:t>
          </w:r>
          <w:r>
            <w:fldChar w:fldCharType="end"/>
          </w:r>
          <w:r w:rsidR="001C38BA">
            <w:t>/</w:t>
          </w:r>
          <w:fldSimple w:instr=" NUMPAGES  \* Arabic  \* MERGEFORMAT ">
            <w:r w:rsidR="00A34F2A">
              <w:rPr>
                <w:noProof/>
              </w:rPr>
              <w:t>35</w:t>
            </w:r>
          </w:fldSimple>
        </w:p>
      </w:tc>
    </w:tr>
  </w:tbl>
  <w:p w:rsidR="001C38BA" w:rsidRPr="00AF6C5B" w:rsidRDefault="001C38BA" w:rsidP="00AF6C5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IRAKop-envoettabellen"/>
      <w:tblW w:w="9215" w:type="dxa"/>
      <w:tblLook w:val="04A0" w:firstRow="1" w:lastRow="0" w:firstColumn="1" w:lastColumn="0" w:noHBand="0" w:noVBand="1"/>
    </w:tblPr>
    <w:tblGrid>
      <w:gridCol w:w="9215"/>
    </w:tblGrid>
    <w:tr w:rsidR="001C38BA" w:rsidTr="000E7897">
      <w:tc>
        <w:tcPr>
          <w:tcW w:w="9215" w:type="dxa"/>
        </w:tcPr>
        <w:p w:rsidR="001C38BA" w:rsidRDefault="00772565" w:rsidP="006E1F14">
          <w:pPr>
            <w:pStyle w:val="Fuzeile"/>
            <w:jc w:val="left"/>
          </w:pPr>
          <w:r>
            <w:fldChar w:fldCharType="begin"/>
          </w:r>
          <w:r w:rsidR="001C38BA">
            <w:instrText>PAGE   \* MERGEFORMAT</w:instrText>
          </w:r>
          <w:r>
            <w:fldChar w:fldCharType="separate"/>
          </w:r>
          <w:r w:rsidR="00A34F2A">
            <w:rPr>
              <w:noProof/>
            </w:rPr>
            <w:t>34</w:t>
          </w:r>
          <w:r>
            <w:fldChar w:fldCharType="end"/>
          </w:r>
          <w:r w:rsidR="001C38BA">
            <w:t>/</w:t>
          </w:r>
          <w:fldSimple w:instr=" NUMPAGES  \* Arabic  \* MERGEFORMAT ">
            <w:r w:rsidR="00A34F2A">
              <w:rPr>
                <w:noProof/>
              </w:rPr>
              <w:t>34</w:t>
            </w:r>
          </w:fldSimple>
        </w:p>
      </w:tc>
    </w:tr>
  </w:tbl>
  <w:p w:rsidR="001C38BA" w:rsidRPr="00AF6C5B" w:rsidRDefault="001C38BA" w:rsidP="006E1F1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8BA" w:rsidRDefault="001C38BA" w:rsidP="005105C7">
      <w:pPr>
        <w:spacing w:before="0" w:after="0" w:line="240" w:lineRule="auto"/>
      </w:pPr>
      <w:r>
        <w:separator/>
      </w:r>
    </w:p>
  </w:footnote>
  <w:footnote w:type="continuationSeparator" w:id="0">
    <w:p w:rsidR="001C38BA" w:rsidRDefault="001C38BA" w:rsidP="005105C7">
      <w:pPr>
        <w:spacing w:before="0" w:after="0" w:line="240" w:lineRule="auto"/>
      </w:pPr>
      <w:r>
        <w:continuationSeparator/>
      </w:r>
    </w:p>
  </w:footnote>
  <w:footnote w:id="1">
    <w:p w:rsidR="001C38BA" w:rsidRDefault="001C38BA">
      <w:pPr>
        <w:pStyle w:val="Funotentext"/>
      </w:pPr>
      <w:r>
        <w:rPr>
          <w:rStyle w:val="Funotenzeichen"/>
        </w:rPr>
        <w:footnoteRef/>
      </w:r>
      <w:r>
        <w:t xml:space="preserve"> European regulations are the most direct form of legislation by the EU. Regulations are binding on all member states as soon as they are ratified. Regulations are passed either by the Council and the European Parliament acting in concert or by the European Commission. Directives commit member states to achieve a certain outcome, but without stipulating how this should be achieved. Member states must transpose directives into national law by means of Acts of Parliament and delegated legislation.</w:t>
      </w:r>
    </w:p>
  </w:footnote>
  <w:footnote w:id="2">
    <w:p w:rsidR="001C38BA" w:rsidRDefault="001C38BA">
      <w:pPr>
        <w:pStyle w:val="Funotentext"/>
      </w:pPr>
      <w:r>
        <w:rPr>
          <w:rStyle w:val="Funotenzeichen"/>
        </w:rPr>
        <w:footnoteRef/>
      </w:r>
      <w:r>
        <w:t xml:space="preserve"> Administrative burden refers to the costs that businesses incur in order to meet the information obligations imposed by legislation and regulations. Compliance costs refer to the costs that businesses incur in order to meet other obligations imposed by legislation and regulations,</w:t>
      </w:r>
    </w:p>
  </w:footnote>
  <w:footnote w:id="3">
    <w:p w:rsidR="001C38BA" w:rsidRDefault="001C38BA">
      <w:pPr>
        <w:pStyle w:val="Funotentext"/>
      </w:pPr>
      <w:r>
        <w:rPr>
          <w:rStyle w:val="Funotenzeichen"/>
        </w:rPr>
        <w:footnoteRef/>
      </w:r>
      <w:r>
        <w:t xml:space="preserve"> SCM is a mode that has been developed to quantify the cost of </w:t>
      </w:r>
      <w:r w:rsidRPr="006D3A0B">
        <w:rPr>
          <w:szCs w:val="16"/>
        </w:rPr>
        <w:t>administrative burden.</w:t>
      </w:r>
    </w:p>
  </w:footnote>
  <w:footnote w:id="4">
    <w:p w:rsidR="001C38BA" w:rsidRDefault="001C38BA" w:rsidP="003162EC">
      <w:pPr>
        <w:pStyle w:val="Funotentext"/>
      </w:pPr>
      <w:r>
        <w:rPr>
          <w:rStyle w:val="Funotenzeichen"/>
        </w:rPr>
        <w:footnoteRef/>
      </w:r>
      <w:r>
        <w:t xml:space="preserve"> Directive 95/46/EC of the European Parliament and of the Council of 24 October 1995 on the protection of individuals with regard to the processing of personal data and on the free movement of such data, Official Journal L 281. EU Directives commit member states to achieve a certain outcome, but without stipulating how this should be achieved. Member states must transpose directives into national law by means of Acts of Parliament and delegated legislation.</w:t>
      </w:r>
    </w:p>
  </w:footnote>
  <w:footnote w:id="5">
    <w:p w:rsidR="001C38BA" w:rsidRDefault="001C38BA">
      <w:pPr>
        <w:pStyle w:val="Funotentext"/>
      </w:pPr>
      <w:r>
        <w:rPr>
          <w:rStyle w:val="Funotenzeichen"/>
        </w:rPr>
        <w:footnoteRef/>
      </w:r>
      <w:r>
        <w:t xml:space="preserve"> (Proposal for a) Regulation of the European Parliament and of the Council on the protection of individuals with regard to the processing of personal data and on the free movement of such data (General Data Protection Regulation), COM (2012) 11. European regulations are the most direct form of legislation by the EU. Regulations are binding on all member states as soon as they are ratified. Regulations are passed either by the Council and the European Parliament acting in concert or by the European Commission.</w:t>
      </w:r>
    </w:p>
  </w:footnote>
  <w:footnote w:id="6">
    <w:p w:rsidR="001C38BA" w:rsidRDefault="001C38BA" w:rsidP="004E6008">
      <w:pPr>
        <w:pStyle w:val="Funotentext"/>
      </w:pPr>
      <w:r>
        <w:rPr>
          <w:rStyle w:val="Funotenzeichen"/>
        </w:rPr>
        <w:footnoteRef/>
      </w:r>
      <w:r>
        <w:t xml:space="preserve"> </w:t>
      </w:r>
      <w:r w:rsidRPr="006D3A0B">
        <w:rPr>
          <w:szCs w:val="16"/>
        </w:rPr>
        <w:t>To calculate the costs of administrative burden for businesses, a method was developed by the former Regulatory Reform Group, and this was described in a manual for defining and measuring the cost of administrative burden (‘Meten is Weten II’, 2008). To calculate the cost of administrative burden, this study used the Standard Cost Model for the Administrative Burden of Businesses'. The original method was developed by SIRA Consulting and others on behalf of the Ministry of Finance.</w:t>
      </w:r>
    </w:p>
  </w:footnote>
  <w:footnote w:id="7">
    <w:p w:rsidR="001C38BA" w:rsidRDefault="001C38BA">
      <w:pPr>
        <w:pStyle w:val="Funotentext"/>
      </w:pPr>
      <w:r>
        <w:rPr>
          <w:rStyle w:val="Funotenzeichen"/>
        </w:rPr>
        <w:footnoteRef/>
      </w:r>
      <w:r>
        <w:t xml:space="preserve"> Administrative burden refers to the costs that businesses incur in order to meet the information obligations imposed by legislation and regulations. Compliance costs refer to the costs that businesses incur in order to meet other obligations imposed by legislation and regulations,</w:t>
      </w:r>
    </w:p>
  </w:footnote>
  <w:footnote w:id="8">
    <w:p w:rsidR="001C38BA" w:rsidRDefault="001C38BA">
      <w:pPr>
        <w:pStyle w:val="Funotentext"/>
      </w:pPr>
      <w:r>
        <w:rPr>
          <w:rStyle w:val="Funotenzeichen"/>
        </w:rPr>
        <w:footnoteRef/>
      </w:r>
      <w:r>
        <w:t xml:space="preserve"> COM (2012) 11.</w:t>
      </w:r>
    </w:p>
  </w:footnote>
  <w:footnote w:id="9">
    <w:p w:rsidR="001C38BA" w:rsidRDefault="001C38BA">
      <w:pPr>
        <w:pStyle w:val="Funotentext"/>
      </w:pPr>
      <w:r>
        <w:rPr>
          <w:rStyle w:val="Funotenzeichen"/>
        </w:rPr>
        <w:footnoteRef/>
      </w:r>
      <w:r>
        <w:t xml:space="preserve"> As Published by the Ministry of Security and Justice on 20 December 2011 on http://www.internetconsultatie.nl/ and consulted on 29 May 2013.</w:t>
      </w:r>
    </w:p>
  </w:footnote>
  <w:footnote w:id="10">
    <w:p w:rsidR="001C38BA" w:rsidRPr="00A810B1" w:rsidRDefault="001C38BA">
      <w:pPr>
        <w:pStyle w:val="Funotentext"/>
        <w:rPr>
          <w:lang w:val="en-GB"/>
        </w:rPr>
      </w:pPr>
      <w:r>
        <w:rPr>
          <w:rStyle w:val="Funotenzeichen"/>
        </w:rPr>
        <w:footnoteRef/>
      </w:r>
      <w:r w:rsidRPr="00A810B1">
        <w:rPr>
          <w:lang w:val="en-GB"/>
        </w:rPr>
        <w:t xml:space="preserve"> Source: Impact on business of the proposed Data Protection Regulation, www.parliament.uk/documents/commons-vote-office/November_2012/22-11-12/7/-Justice-DataProtection.pdf, Written Ministerial Statement of 22 November 2012, consulted on 29 May 2013.</w:t>
      </w:r>
    </w:p>
  </w:footnote>
  <w:footnote w:id="11">
    <w:p w:rsidR="001C38BA" w:rsidRDefault="001C38BA">
      <w:pPr>
        <w:pStyle w:val="Funotentext"/>
      </w:pPr>
      <w:r>
        <w:rPr>
          <w:rStyle w:val="Funotenzeichen"/>
        </w:rPr>
        <w:footnoteRef/>
      </w:r>
      <w:r>
        <w:t xml:space="preserve"> See Chapter 4 for a description of the scenarios.</w:t>
      </w:r>
    </w:p>
  </w:footnote>
  <w:footnote w:id="12">
    <w:p w:rsidR="00776952" w:rsidRPr="00776952" w:rsidRDefault="00776952">
      <w:pPr>
        <w:pStyle w:val="Funotentext"/>
        <w:rPr>
          <w:lang w:val="en-GB"/>
        </w:rPr>
      </w:pPr>
      <w:r>
        <w:rPr>
          <w:rStyle w:val="Funotenzeichen"/>
        </w:rPr>
        <w:footnoteRef/>
      </w:r>
      <w:r w:rsidRPr="00776952">
        <w:rPr>
          <w:lang w:val="en-GB"/>
        </w:rPr>
        <w:t xml:space="preserve"> L. Christensen (Analysis Group, Denver), A. Colciago (University of Milan, Bicocca), F. Etro (Ca’ Foscari University, Venice) and G. Rafert (Analysis Group, Denver), 13 February 2013.</w:t>
      </w:r>
    </w:p>
  </w:footnote>
  <w:footnote w:id="13">
    <w:p w:rsidR="0052395E" w:rsidRPr="00CD5C8A" w:rsidRDefault="0052395E" w:rsidP="0052395E">
      <w:pPr>
        <w:pStyle w:val="Funotentext"/>
        <w:rPr>
          <w:lang w:val="en-GB"/>
        </w:rPr>
      </w:pPr>
      <w:r>
        <w:rPr>
          <w:rStyle w:val="Funotenzeichen"/>
        </w:rPr>
        <w:footnoteRef/>
      </w:r>
      <w:r w:rsidRPr="00CD5C8A">
        <w:rPr>
          <w:lang w:val="en-GB"/>
        </w:rPr>
        <w:t xml:space="preserve"> Impact Assessment, SEC(2012) 72, Commission Staff Working Paper, 25 January 2012.</w:t>
      </w:r>
    </w:p>
  </w:footnote>
  <w:footnote w:id="14">
    <w:p w:rsidR="00C5237F" w:rsidRPr="00C5237F" w:rsidRDefault="00C5237F">
      <w:pPr>
        <w:pStyle w:val="Funotentext"/>
        <w:rPr>
          <w:lang w:val="en-GB"/>
        </w:rPr>
      </w:pPr>
      <w:r>
        <w:rPr>
          <w:rStyle w:val="Funotenzeichen"/>
        </w:rPr>
        <w:footnoteRef/>
      </w:r>
      <w:r w:rsidRPr="00C5237F">
        <w:rPr>
          <w:lang w:val="en-GB"/>
        </w:rPr>
        <w:t xml:space="preserve"> Impact on business of the proposed Data Protection Regulation, www.parliament.uk/documents/commons-vote-office/November_2012/22-11-12/7/-Justice-DataProtection.pdf, Written Ministerial Statement of 22 November 2012, consulted on 29 May 2013.</w:t>
      </w:r>
    </w:p>
  </w:footnote>
  <w:footnote w:id="15">
    <w:p w:rsidR="0052395E" w:rsidRPr="0052395E" w:rsidRDefault="0052395E">
      <w:pPr>
        <w:pStyle w:val="Funotentext"/>
        <w:rPr>
          <w:lang w:val="en-GB"/>
        </w:rPr>
      </w:pPr>
      <w:r>
        <w:rPr>
          <w:rStyle w:val="Funotenzeichen"/>
        </w:rPr>
        <w:footnoteRef/>
      </w:r>
      <w:r w:rsidRPr="0052395E">
        <w:rPr>
          <w:lang w:val="en-GB"/>
        </w:rPr>
        <w:t xml:space="preserve"> Impact Assessment, SEC(2012) 72, Commission Staff Working Paper, 25 January 2012.</w:t>
      </w:r>
    </w:p>
  </w:footnote>
  <w:footnote w:id="16">
    <w:p w:rsidR="007E427F" w:rsidRDefault="007E427F">
      <w:pPr>
        <w:pStyle w:val="Funotentext"/>
      </w:pPr>
      <w:r>
        <w:rPr>
          <w:rStyle w:val="Funotenzeichen"/>
        </w:rPr>
        <w:footnoteRef/>
      </w:r>
      <w:r>
        <w:t xml:space="preserve"> Informal document prepared by VNO-NCW.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IRAKop-envoettabellen"/>
      <w:tblW w:w="0" w:type="auto"/>
      <w:tblLook w:val="04A0" w:firstRow="1" w:lastRow="0" w:firstColumn="1" w:lastColumn="0" w:noHBand="0" w:noVBand="1"/>
    </w:tblPr>
    <w:tblGrid>
      <w:gridCol w:w="9184"/>
    </w:tblGrid>
    <w:tr w:rsidR="001C38BA" w:rsidTr="000E7897">
      <w:trPr>
        <w:trHeight w:val="1134"/>
      </w:trPr>
      <w:tc>
        <w:tcPr>
          <w:tcW w:w="9184" w:type="dxa"/>
        </w:tcPr>
        <w:p w:rsidR="001C38BA" w:rsidRDefault="001C38BA" w:rsidP="000E7897">
          <w:pPr>
            <w:pStyle w:val="Kopfzeile"/>
            <w:jc w:val="right"/>
          </w:pPr>
        </w:p>
      </w:tc>
    </w:tr>
  </w:tbl>
  <w:p w:rsidR="001C38BA" w:rsidRPr="006E1F14" w:rsidRDefault="001C38BA" w:rsidP="006E1F14">
    <w:pPr>
      <w:pStyle w:val="Kopfzei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8BA" w:rsidRDefault="001C38B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IRAKop-envoettabellen"/>
      <w:tblW w:w="0" w:type="auto"/>
      <w:tblInd w:w="0" w:type="dxa"/>
      <w:tblLook w:val="04A0" w:firstRow="1" w:lastRow="0" w:firstColumn="1" w:lastColumn="0" w:noHBand="0" w:noVBand="1"/>
    </w:tblPr>
    <w:tblGrid>
      <w:gridCol w:w="851"/>
      <w:gridCol w:w="1843"/>
      <w:gridCol w:w="6490"/>
    </w:tblGrid>
    <w:tr w:rsidR="001C38BA" w:rsidTr="00A6566D">
      <w:tc>
        <w:tcPr>
          <w:tcW w:w="2694" w:type="dxa"/>
          <w:gridSpan w:val="2"/>
        </w:tcPr>
        <w:p w:rsidR="001C38BA" w:rsidRPr="006E1F14" w:rsidRDefault="001C38BA" w:rsidP="00AF6C5B">
          <w:pPr>
            <w:pStyle w:val="Kopfzeile"/>
            <w:rPr>
              <w:lang w:val="en-US"/>
            </w:rPr>
          </w:pPr>
          <w:r w:rsidRPr="006E1F14">
            <w:rPr>
              <w:lang w:val="en-US"/>
            </w:rPr>
            <w:t>SIRA Consulting B.V.</w:t>
          </w:r>
        </w:p>
        <w:p w:rsidR="001C38BA" w:rsidRPr="006E1F14" w:rsidRDefault="001C38BA" w:rsidP="00AF6C5B">
          <w:pPr>
            <w:pStyle w:val="Kopfzeile"/>
            <w:rPr>
              <w:lang w:val="en-US"/>
            </w:rPr>
          </w:pPr>
          <w:r w:rsidRPr="006E1F14">
            <w:rPr>
              <w:lang w:val="en-US"/>
            </w:rPr>
            <w:t>Edisonbaan 14 G-1</w:t>
          </w:r>
        </w:p>
        <w:p w:rsidR="001C38BA" w:rsidRDefault="001C38BA">
          <w:pPr>
            <w:pStyle w:val="Kopfzeile"/>
          </w:pPr>
          <w:r w:rsidRPr="00AF6C5B">
            <w:t>3439 MN Nieuwegein</w:t>
          </w:r>
        </w:p>
      </w:tc>
      <w:tc>
        <w:tcPr>
          <w:tcW w:w="6490" w:type="dxa"/>
          <w:vMerge w:val="restart"/>
        </w:tcPr>
        <w:p w:rsidR="001C38BA" w:rsidRDefault="001C38BA" w:rsidP="00AF6C5B">
          <w:pPr>
            <w:pStyle w:val="Kopfzeile"/>
            <w:jc w:val="right"/>
          </w:pPr>
          <w:r>
            <w:rPr>
              <w:noProof/>
              <w:lang w:val="de-DE" w:eastAsia="de-DE"/>
            </w:rPr>
            <w:drawing>
              <wp:inline distT="0" distB="0" distL="0" distR="0">
                <wp:extent cx="1658679" cy="481017"/>
                <wp:effectExtent l="0" t="0" r="0" b="0"/>
                <wp:docPr id="26" name="Afbeelding 26" descr="Logo (grijs k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grijs k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0223" cy="481465"/>
                        </a:xfrm>
                        <a:prstGeom prst="rect">
                          <a:avLst/>
                        </a:prstGeom>
                        <a:noFill/>
                        <a:ln>
                          <a:noFill/>
                        </a:ln>
                      </pic:spPr>
                    </pic:pic>
                  </a:graphicData>
                </a:graphic>
              </wp:inline>
            </w:drawing>
          </w:r>
        </w:p>
      </w:tc>
    </w:tr>
    <w:tr w:rsidR="001C38BA" w:rsidTr="00A6566D">
      <w:tc>
        <w:tcPr>
          <w:tcW w:w="2694" w:type="dxa"/>
          <w:gridSpan w:val="2"/>
        </w:tcPr>
        <w:p w:rsidR="001C38BA" w:rsidRDefault="001C38BA">
          <w:pPr>
            <w:pStyle w:val="Kopfzeile"/>
          </w:pPr>
        </w:p>
      </w:tc>
      <w:tc>
        <w:tcPr>
          <w:tcW w:w="6490" w:type="dxa"/>
          <w:vMerge/>
        </w:tcPr>
        <w:p w:rsidR="001C38BA" w:rsidRDefault="001C38BA">
          <w:pPr>
            <w:pStyle w:val="Kopfzeile"/>
          </w:pPr>
        </w:p>
      </w:tc>
    </w:tr>
    <w:tr w:rsidR="001C38BA" w:rsidTr="00A6566D">
      <w:tc>
        <w:tcPr>
          <w:tcW w:w="851" w:type="dxa"/>
        </w:tcPr>
        <w:p w:rsidR="001C38BA" w:rsidRDefault="001C38BA" w:rsidP="00AF6C5B">
          <w:pPr>
            <w:pStyle w:val="Kopfzeile"/>
          </w:pPr>
          <w:r>
            <w:t>Phone:</w:t>
          </w:r>
        </w:p>
        <w:p w:rsidR="001C38BA" w:rsidRDefault="001C38BA" w:rsidP="00AF6C5B">
          <w:pPr>
            <w:pStyle w:val="Kopfzeile"/>
          </w:pPr>
          <w:r>
            <w:t>Fax:</w:t>
          </w:r>
        </w:p>
        <w:p w:rsidR="001C38BA" w:rsidRDefault="001C38BA" w:rsidP="00AF6C5B">
          <w:pPr>
            <w:pStyle w:val="Kopfzeile"/>
          </w:pPr>
          <w:r>
            <w:t>Web:</w:t>
          </w:r>
        </w:p>
      </w:tc>
      <w:tc>
        <w:tcPr>
          <w:tcW w:w="1843" w:type="dxa"/>
        </w:tcPr>
        <w:p w:rsidR="001C38BA" w:rsidRDefault="001C38BA" w:rsidP="00AF6C5B">
          <w:pPr>
            <w:pStyle w:val="Kopfzeile"/>
          </w:pPr>
          <w:r>
            <w:t>+31 30 602 49 00</w:t>
          </w:r>
        </w:p>
        <w:p w:rsidR="001C38BA" w:rsidRDefault="001C38BA" w:rsidP="00AF6C5B">
          <w:pPr>
            <w:pStyle w:val="Kopfzeile"/>
          </w:pPr>
          <w:r>
            <w:t xml:space="preserve">+31 30 602 49 19 </w:t>
          </w:r>
        </w:p>
        <w:p w:rsidR="001C38BA" w:rsidRDefault="001C38BA" w:rsidP="00AF6C5B">
          <w:pPr>
            <w:pStyle w:val="Kopfzeile"/>
          </w:pPr>
          <w:r>
            <w:t>www.siraconsulting.nl</w:t>
          </w:r>
        </w:p>
      </w:tc>
      <w:tc>
        <w:tcPr>
          <w:tcW w:w="6490" w:type="dxa"/>
          <w:vMerge/>
        </w:tcPr>
        <w:p w:rsidR="001C38BA" w:rsidRDefault="001C38BA">
          <w:pPr>
            <w:pStyle w:val="Kopfzeile"/>
          </w:pPr>
        </w:p>
      </w:tc>
    </w:tr>
  </w:tbl>
  <w:p w:rsidR="001C38BA" w:rsidRDefault="001C38BA">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8BA" w:rsidRDefault="001C38BA">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IRAKop-envoettabellen"/>
      <w:tblW w:w="0" w:type="auto"/>
      <w:tblLook w:val="04A0" w:firstRow="1" w:lastRow="0" w:firstColumn="1" w:lastColumn="0" w:noHBand="0" w:noVBand="1"/>
    </w:tblPr>
    <w:tblGrid>
      <w:gridCol w:w="9184"/>
    </w:tblGrid>
    <w:tr w:rsidR="001C38BA" w:rsidTr="00142F21">
      <w:trPr>
        <w:trHeight w:val="1134"/>
      </w:trPr>
      <w:tc>
        <w:tcPr>
          <w:tcW w:w="9184" w:type="dxa"/>
        </w:tcPr>
        <w:p w:rsidR="001C38BA" w:rsidRDefault="001C38BA" w:rsidP="00A6566D">
          <w:pPr>
            <w:pStyle w:val="Kopfzeile"/>
            <w:jc w:val="right"/>
          </w:pPr>
          <w:r>
            <w:rPr>
              <w:noProof/>
              <w:lang w:val="de-DE" w:eastAsia="de-DE"/>
            </w:rPr>
            <w:drawing>
              <wp:inline distT="0" distB="0" distL="0" distR="0">
                <wp:extent cx="1658679" cy="481017"/>
                <wp:effectExtent l="0" t="0" r="0" b="0"/>
                <wp:docPr id="4" name="Afbeelding 4" descr="Logo (grijs k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grijs k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0223" cy="481465"/>
                        </a:xfrm>
                        <a:prstGeom prst="rect">
                          <a:avLst/>
                        </a:prstGeom>
                        <a:noFill/>
                        <a:ln>
                          <a:noFill/>
                        </a:ln>
                      </pic:spPr>
                    </pic:pic>
                  </a:graphicData>
                </a:graphic>
              </wp:inline>
            </w:drawing>
          </w:r>
        </w:p>
      </w:tc>
    </w:tr>
  </w:tbl>
  <w:p w:rsidR="001C38BA" w:rsidRDefault="001C38BA">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8BA" w:rsidRDefault="001C38BA">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IRAKop-envoettabellen"/>
      <w:tblW w:w="0" w:type="auto"/>
      <w:tblLook w:val="04A0" w:firstRow="1" w:lastRow="0" w:firstColumn="1" w:lastColumn="0" w:noHBand="0" w:noVBand="1"/>
    </w:tblPr>
    <w:tblGrid>
      <w:gridCol w:w="9184"/>
    </w:tblGrid>
    <w:tr w:rsidR="001C38BA" w:rsidTr="000E7897">
      <w:trPr>
        <w:trHeight w:val="1134"/>
      </w:trPr>
      <w:tc>
        <w:tcPr>
          <w:tcW w:w="9184" w:type="dxa"/>
        </w:tcPr>
        <w:p w:rsidR="001C38BA" w:rsidRDefault="001C38BA" w:rsidP="000E7897">
          <w:pPr>
            <w:pStyle w:val="Kopfzeile"/>
            <w:jc w:val="right"/>
          </w:pPr>
        </w:p>
      </w:tc>
    </w:tr>
  </w:tbl>
  <w:p w:rsidR="001C38BA" w:rsidRPr="006E1F14" w:rsidRDefault="001C38BA" w:rsidP="006E1F14">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8BA" w:rsidRDefault="001C38BA">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IRAKop-envoettabellen"/>
      <w:tblW w:w="0" w:type="auto"/>
      <w:tblLook w:val="04A0" w:firstRow="1" w:lastRow="0" w:firstColumn="1" w:lastColumn="0" w:noHBand="0" w:noVBand="1"/>
    </w:tblPr>
    <w:tblGrid>
      <w:gridCol w:w="9184"/>
    </w:tblGrid>
    <w:tr w:rsidR="001C38BA" w:rsidTr="000E7897">
      <w:trPr>
        <w:trHeight w:val="1134"/>
      </w:trPr>
      <w:tc>
        <w:tcPr>
          <w:tcW w:w="9184" w:type="dxa"/>
        </w:tcPr>
        <w:p w:rsidR="001C38BA" w:rsidRDefault="001C38BA" w:rsidP="000E7897">
          <w:pPr>
            <w:pStyle w:val="Kopfzeile"/>
            <w:jc w:val="right"/>
          </w:pPr>
        </w:p>
      </w:tc>
    </w:tr>
  </w:tbl>
  <w:p w:rsidR="001C38BA" w:rsidRPr="006E1F14" w:rsidRDefault="001C38BA" w:rsidP="006E1F14">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8BA" w:rsidRDefault="001C38B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FEB"/>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6F4DC9"/>
    <w:multiLevelType w:val="multilevel"/>
    <w:tmpl w:val="0413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0E6039F"/>
    <w:multiLevelType w:val="hybridMultilevel"/>
    <w:tmpl w:val="1F88F1B8"/>
    <w:lvl w:ilvl="0" w:tplc="2C2CD768">
      <w:start w:val="1"/>
      <w:numFmt w:val="bullet"/>
      <w:lvlText w:val=""/>
      <w:lvlJc w:val="left"/>
      <w:pPr>
        <w:ind w:left="360" w:hanging="360"/>
      </w:pPr>
      <w:rPr>
        <w:rFonts w:ascii="Wingdings" w:hAnsi="Wingdings" w:hint="default"/>
        <w:color w:val="000080"/>
        <w:sz w:val="16"/>
        <w:szCs w:val="16"/>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151B6BB5"/>
    <w:multiLevelType w:val="hybridMultilevel"/>
    <w:tmpl w:val="1A1CFBAE"/>
    <w:lvl w:ilvl="0" w:tplc="0ED447E2">
      <w:start w:val="1"/>
      <w:numFmt w:val="upperRoman"/>
      <w:pStyle w:val="Appendix"/>
      <w:lvlText w:val="%1."/>
      <w:lvlJc w:val="left"/>
      <w:pPr>
        <w:tabs>
          <w:tab w:val="num" w:pos="0"/>
        </w:tabs>
        <w:ind w:hanging="1134"/>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C036506"/>
    <w:multiLevelType w:val="hybridMultilevel"/>
    <w:tmpl w:val="2A2AD0AA"/>
    <w:lvl w:ilvl="0" w:tplc="0413000F">
      <w:start w:val="1"/>
      <w:numFmt w:val="decimal"/>
      <w:lvlText w:val="%1."/>
      <w:lvlJc w:val="left"/>
      <w:pPr>
        <w:ind w:left="720" w:hanging="360"/>
      </w:pPr>
    </w:lvl>
    <w:lvl w:ilvl="1" w:tplc="8E0E1D7A">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1B37D07"/>
    <w:multiLevelType w:val="singleLevel"/>
    <w:tmpl w:val="B0C61924"/>
    <w:styleLink w:val="Bulletsniveau1"/>
    <w:lvl w:ilvl="0">
      <w:start w:val="1"/>
      <w:numFmt w:val="bullet"/>
      <w:lvlText w:val=""/>
      <w:lvlJc w:val="left"/>
      <w:pPr>
        <w:tabs>
          <w:tab w:val="num" w:pos="567"/>
        </w:tabs>
        <w:ind w:left="567" w:hanging="567"/>
      </w:pPr>
      <w:rPr>
        <w:rFonts w:ascii="Wingdings" w:hAnsi="Wingdings" w:hint="default"/>
        <w:color w:val="000080"/>
        <w:sz w:val="16"/>
      </w:rPr>
    </w:lvl>
  </w:abstractNum>
  <w:abstractNum w:abstractNumId="6">
    <w:nsid w:val="22A1300B"/>
    <w:multiLevelType w:val="hybridMultilevel"/>
    <w:tmpl w:val="887ED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3761378"/>
    <w:multiLevelType w:val="hybridMultilevel"/>
    <w:tmpl w:val="51325552"/>
    <w:lvl w:ilvl="0" w:tplc="B48859A2">
      <w:start w:val="1"/>
      <w:numFmt w:val="bullet"/>
      <w:lvlText w:val=""/>
      <w:lvlJc w:val="left"/>
      <w:pPr>
        <w:ind w:left="720" w:hanging="360"/>
      </w:pPr>
      <w:rPr>
        <w:rFonts w:ascii="Wingdings" w:hAnsi="Wingdings" w:hint="default"/>
        <w:color w:val="0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C75467E"/>
    <w:multiLevelType w:val="multilevel"/>
    <w:tmpl w:val="A07EADBC"/>
    <w:lvl w:ilvl="0">
      <w:start w:val="1"/>
      <w:numFmt w:val="decimal"/>
      <w:pStyle w:val="SIRANummering"/>
      <w:lvlText w:val="%1."/>
      <w:lvlJc w:val="left"/>
      <w:pPr>
        <w:tabs>
          <w:tab w:val="num" w:pos="567"/>
        </w:tabs>
        <w:ind w:left="567" w:hanging="567"/>
      </w:pPr>
      <w:rPr>
        <w:rFonts w:ascii="Trebuchet MS" w:eastAsia="SimSun" w:hAnsi="Trebuchet MS" w:hint="default"/>
        <w:sz w:val="18"/>
      </w:rPr>
    </w:lvl>
    <w:lvl w:ilvl="1">
      <w:start w:val="1"/>
      <w:numFmt w:val="lowerLetter"/>
      <w:lvlText w:val="%2."/>
      <w:lvlJc w:val="left"/>
      <w:pPr>
        <w:tabs>
          <w:tab w:val="num" w:pos="1134"/>
        </w:tabs>
        <w:ind w:left="964" w:hanging="397"/>
      </w:pPr>
      <w:rPr>
        <w:rFonts w:hint="default"/>
      </w:rPr>
    </w:lvl>
    <w:lvl w:ilvl="2">
      <w:start w:val="1"/>
      <w:numFmt w:val="lowerRoman"/>
      <w:lvlText w:val="%3."/>
      <w:lvlJc w:val="left"/>
      <w:pPr>
        <w:tabs>
          <w:tab w:val="num" w:pos="2160"/>
        </w:tabs>
        <w:ind w:left="1361" w:hanging="397"/>
      </w:pPr>
      <w:rPr>
        <w:rFonts w:hint="default"/>
      </w:rPr>
    </w:lvl>
    <w:lvl w:ilvl="3">
      <w:start w:val="1"/>
      <w:numFmt w:val="decimal"/>
      <w:lvlText w:val="%4."/>
      <w:lvlJc w:val="left"/>
      <w:pPr>
        <w:tabs>
          <w:tab w:val="num" w:pos="2880"/>
        </w:tabs>
        <w:ind w:left="1758" w:hanging="397"/>
      </w:pPr>
      <w:rPr>
        <w:rFonts w:hint="default"/>
      </w:rPr>
    </w:lvl>
    <w:lvl w:ilvl="4">
      <w:start w:val="1"/>
      <w:numFmt w:val="lowerLetter"/>
      <w:lvlText w:val="%5."/>
      <w:lvlJc w:val="left"/>
      <w:pPr>
        <w:tabs>
          <w:tab w:val="num" w:pos="3600"/>
        </w:tabs>
        <w:ind w:left="2155" w:hanging="397"/>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D9C7E85"/>
    <w:multiLevelType w:val="multilevel"/>
    <w:tmpl w:val="1F545D56"/>
    <w:styleLink w:val="SIRANumberedlist"/>
    <w:lvl w:ilvl="0">
      <w:start w:val="1"/>
      <w:numFmt w:val="decimal"/>
      <w:lvlText w:val="%1."/>
      <w:lvlJc w:val="left"/>
      <w:pPr>
        <w:tabs>
          <w:tab w:val="num" w:pos="567"/>
        </w:tabs>
        <w:ind w:left="567" w:hanging="567"/>
      </w:pPr>
      <w:rPr>
        <w:rFonts w:ascii="Trebuchet MS" w:eastAsia="SimSun" w:hAnsi="Trebuchet MS" w:hint="default"/>
        <w:sz w:val="18"/>
      </w:rPr>
    </w:lvl>
    <w:lvl w:ilvl="1">
      <w:start w:val="1"/>
      <w:numFmt w:val="lowerLetter"/>
      <w:lvlText w:val="%2."/>
      <w:lvlJc w:val="left"/>
      <w:pPr>
        <w:tabs>
          <w:tab w:val="num" w:pos="1134"/>
        </w:tabs>
        <w:ind w:left="964" w:hanging="397"/>
      </w:pPr>
      <w:rPr>
        <w:rFonts w:hint="default"/>
      </w:rPr>
    </w:lvl>
    <w:lvl w:ilvl="2">
      <w:start w:val="1"/>
      <w:numFmt w:val="lowerRoman"/>
      <w:lvlText w:val="%3."/>
      <w:lvlJc w:val="left"/>
      <w:pPr>
        <w:tabs>
          <w:tab w:val="num" w:pos="2160"/>
        </w:tabs>
        <w:ind w:left="1361" w:hanging="397"/>
      </w:pPr>
      <w:rPr>
        <w:rFonts w:hint="default"/>
      </w:rPr>
    </w:lvl>
    <w:lvl w:ilvl="3">
      <w:start w:val="1"/>
      <w:numFmt w:val="decimal"/>
      <w:lvlText w:val="%4."/>
      <w:lvlJc w:val="left"/>
      <w:pPr>
        <w:tabs>
          <w:tab w:val="num" w:pos="2880"/>
        </w:tabs>
        <w:ind w:left="1758" w:hanging="397"/>
      </w:pPr>
      <w:rPr>
        <w:rFonts w:hint="default"/>
      </w:rPr>
    </w:lvl>
    <w:lvl w:ilvl="4">
      <w:start w:val="1"/>
      <w:numFmt w:val="lowerLetter"/>
      <w:lvlText w:val="%5."/>
      <w:lvlJc w:val="left"/>
      <w:pPr>
        <w:tabs>
          <w:tab w:val="num" w:pos="3600"/>
        </w:tabs>
        <w:ind w:left="2155" w:hanging="397"/>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2E8B4991"/>
    <w:multiLevelType w:val="hybridMultilevel"/>
    <w:tmpl w:val="F7C62A6C"/>
    <w:lvl w:ilvl="0" w:tplc="B48859A2">
      <w:start w:val="1"/>
      <w:numFmt w:val="bullet"/>
      <w:lvlText w:val=""/>
      <w:lvlJc w:val="left"/>
      <w:pPr>
        <w:ind w:left="720" w:hanging="360"/>
      </w:pPr>
      <w:rPr>
        <w:rFonts w:ascii="Wingdings" w:hAnsi="Wingdings" w:hint="default"/>
        <w:color w:val="0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BE16548"/>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727D96"/>
    <w:multiLevelType w:val="hybridMultilevel"/>
    <w:tmpl w:val="2186965E"/>
    <w:lvl w:ilvl="0" w:tplc="0D64F074">
      <w:start w:val="1"/>
      <w:numFmt w:val="decimal"/>
      <w:pStyle w:val="Kop4-genummerd"/>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nsid w:val="516F6711"/>
    <w:multiLevelType w:val="multilevel"/>
    <w:tmpl w:val="5F42C860"/>
    <w:lvl w:ilvl="0">
      <w:start w:val="1"/>
      <w:numFmt w:val="bullet"/>
      <w:pStyle w:val="SIRABullets"/>
      <w:lvlText w:val=""/>
      <w:lvlJc w:val="left"/>
      <w:pPr>
        <w:tabs>
          <w:tab w:val="num" w:pos="567"/>
        </w:tabs>
        <w:ind w:left="567" w:hanging="567"/>
      </w:pPr>
      <w:rPr>
        <w:rFonts w:ascii="Wingdings" w:hAnsi="Wingdings" w:hint="default"/>
        <w:b w:val="0"/>
        <w:i w:val="0"/>
        <w:color w:val="000080"/>
        <w:sz w:val="18"/>
        <w:szCs w:val="16"/>
      </w:rPr>
    </w:lvl>
    <w:lvl w:ilvl="1">
      <w:start w:val="1"/>
      <w:numFmt w:val="bullet"/>
      <w:lvlText w:val=""/>
      <w:lvlJc w:val="left"/>
      <w:pPr>
        <w:tabs>
          <w:tab w:val="num" w:pos="964"/>
        </w:tabs>
        <w:ind w:left="964" w:hanging="397"/>
      </w:pPr>
      <w:rPr>
        <w:rFonts w:ascii="Wingdings" w:hAnsi="Wingdings" w:hint="default"/>
        <w:color w:val="000080"/>
      </w:rPr>
    </w:lvl>
    <w:lvl w:ilvl="2">
      <w:start w:val="1"/>
      <w:numFmt w:val="bullet"/>
      <w:lvlText w:val="-"/>
      <w:lvlJc w:val="left"/>
      <w:pPr>
        <w:tabs>
          <w:tab w:val="num" w:pos="1361"/>
        </w:tabs>
        <w:ind w:left="1361" w:hanging="397"/>
      </w:pPr>
      <w:rPr>
        <w:rFonts w:ascii="Trebuchet MS" w:hAnsi="Trebuchet MS" w:hint="default"/>
        <w:color w:val="002060"/>
      </w:rPr>
    </w:lvl>
    <w:lvl w:ilvl="3">
      <w:start w:val="1"/>
      <w:numFmt w:val="bullet"/>
      <w:lvlText w:val=""/>
      <w:lvlJc w:val="left"/>
      <w:pPr>
        <w:tabs>
          <w:tab w:val="num" w:pos="1440"/>
        </w:tabs>
        <w:ind w:left="1758" w:hanging="397"/>
      </w:pPr>
      <w:rPr>
        <w:rFonts w:ascii="Symbol" w:hAnsi="Symbol" w:hint="default"/>
        <w:color w:val="002060"/>
      </w:rPr>
    </w:lvl>
    <w:lvl w:ilvl="4">
      <w:start w:val="1"/>
      <w:numFmt w:val="bullet"/>
      <w:lvlText w:val=""/>
      <w:lvlJc w:val="left"/>
      <w:pPr>
        <w:tabs>
          <w:tab w:val="num" w:pos="1800"/>
        </w:tabs>
        <w:ind w:left="2155" w:hanging="397"/>
      </w:pPr>
      <w:rPr>
        <w:rFonts w:ascii="Symbol" w:hAnsi="Symbol" w:hint="default"/>
        <w:color w:val="002060"/>
      </w:rPr>
    </w:lvl>
    <w:lvl w:ilvl="5">
      <w:start w:val="1"/>
      <w:numFmt w:val="bullet"/>
      <w:lvlText w:val=""/>
      <w:lvlJc w:val="left"/>
      <w:pPr>
        <w:tabs>
          <w:tab w:val="num" w:pos="2160"/>
        </w:tabs>
        <w:ind w:left="2552" w:hanging="397"/>
      </w:pPr>
      <w:rPr>
        <w:rFonts w:ascii="Wingdings" w:hAnsi="Wingdings" w:hint="default"/>
        <w:u w:color="002060"/>
      </w:rPr>
    </w:lvl>
    <w:lvl w:ilvl="6">
      <w:start w:val="1"/>
      <w:numFmt w:val="bullet"/>
      <w:lvlText w:val=""/>
      <w:lvlJc w:val="left"/>
      <w:pPr>
        <w:tabs>
          <w:tab w:val="num" w:pos="2552"/>
        </w:tabs>
        <w:ind w:left="2948" w:hanging="396"/>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5CA73EB4"/>
    <w:multiLevelType w:val="multilevel"/>
    <w:tmpl w:val="B686D5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D12B46"/>
    <w:multiLevelType w:val="hybridMultilevel"/>
    <w:tmpl w:val="CDB05D9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60AA12AD"/>
    <w:multiLevelType w:val="hybridMultilevel"/>
    <w:tmpl w:val="DAA80B2A"/>
    <w:lvl w:ilvl="0" w:tplc="B48859A2">
      <w:start w:val="1"/>
      <w:numFmt w:val="bullet"/>
      <w:lvlText w:val=""/>
      <w:lvlJc w:val="left"/>
      <w:pPr>
        <w:ind w:left="720" w:hanging="360"/>
      </w:pPr>
      <w:rPr>
        <w:rFonts w:ascii="Wingdings" w:hAnsi="Wingdings" w:hint="default"/>
        <w:color w:val="0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1043038"/>
    <w:multiLevelType w:val="multilevel"/>
    <w:tmpl w:val="1F545D56"/>
    <w:lvl w:ilvl="0">
      <w:start w:val="1"/>
      <w:numFmt w:val="decimal"/>
      <w:lvlText w:val="%1."/>
      <w:lvlJc w:val="left"/>
      <w:pPr>
        <w:tabs>
          <w:tab w:val="num" w:pos="567"/>
        </w:tabs>
        <w:ind w:left="567" w:hanging="567"/>
      </w:pPr>
      <w:rPr>
        <w:rFonts w:ascii="Trebuchet MS" w:eastAsia="SimSun" w:hAnsi="Trebuchet MS" w:hint="default"/>
        <w:sz w:val="18"/>
      </w:rPr>
    </w:lvl>
    <w:lvl w:ilvl="1">
      <w:start w:val="1"/>
      <w:numFmt w:val="lowerLetter"/>
      <w:lvlText w:val="%2."/>
      <w:lvlJc w:val="left"/>
      <w:pPr>
        <w:tabs>
          <w:tab w:val="num" w:pos="1134"/>
        </w:tabs>
        <w:ind w:left="964" w:hanging="397"/>
      </w:pPr>
      <w:rPr>
        <w:rFonts w:hint="default"/>
      </w:rPr>
    </w:lvl>
    <w:lvl w:ilvl="2">
      <w:start w:val="1"/>
      <w:numFmt w:val="lowerRoman"/>
      <w:lvlText w:val="%3."/>
      <w:lvlJc w:val="left"/>
      <w:pPr>
        <w:tabs>
          <w:tab w:val="num" w:pos="2160"/>
        </w:tabs>
        <w:ind w:left="1361" w:hanging="397"/>
      </w:pPr>
      <w:rPr>
        <w:rFonts w:hint="default"/>
      </w:rPr>
    </w:lvl>
    <w:lvl w:ilvl="3">
      <w:start w:val="1"/>
      <w:numFmt w:val="decimal"/>
      <w:lvlText w:val="%4."/>
      <w:lvlJc w:val="left"/>
      <w:pPr>
        <w:tabs>
          <w:tab w:val="num" w:pos="2880"/>
        </w:tabs>
        <w:ind w:left="1758" w:hanging="397"/>
      </w:pPr>
      <w:rPr>
        <w:rFonts w:hint="default"/>
      </w:rPr>
    </w:lvl>
    <w:lvl w:ilvl="4">
      <w:start w:val="1"/>
      <w:numFmt w:val="lowerLetter"/>
      <w:lvlText w:val="%5."/>
      <w:lvlJc w:val="left"/>
      <w:pPr>
        <w:tabs>
          <w:tab w:val="num" w:pos="3600"/>
        </w:tabs>
        <w:ind w:left="2155" w:hanging="397"/>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nsid w:val="62CA372D"/>
    <w:multiLevelType w:val="hybridMultilevel"/>
    <w:tmpl w:val="EED62258"/>
    <w:lvl w:ilvl="0" w:tplc="B48859A2">
      <w:start w:val="1"/>
      <w:numFmt w:val="bullet"/>
      <w:lvlText w:val=""/>
      <w:lvlJc w:val="left"/>
      <w:pPr>
        <w:ind w:left="720" w:hanging="360"/>
      </w:pPr>
      <w:rPr>
        <w:rFonts w:ascii="Wingdings" w:hAnsi="Wingdings" w:hint="default"/>
        <w:color w:val="0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85270E1"/>
    <w:multiLevelType w:val="hybridMultilevel"/>
    <w:tmpl w:val="51E081F6"/>
    <w:lvl w:ilvl="0" w:tplc="2B92FBBA">
      <w:start w:val="1"/>
      <w:numFmt w:val="upperRoman"/>
      <w:pStyle w:val="AppendixHeading1"/>
      <w:lvlText w:val="%1."/>
      <w:lvlJc w:val="left"/>
      <w:pPr>
        <w:ind w:left="-131" w:hanging="360"/>
      </w:pPr>
      <w:rPr>
        <w:rFonts w:hint="default"/>
      </w:rPr>
    </w:lvl>
    <w:lvl w:ilvl="1" w:tplc="04130019" w:tentative="1">
      <w:start w:val="1"/>
      <w:numFmt w:val="lowerLetter"/>
      <w:lvlText w:val="%2."/>
      <w:lvlJc w:val="left"/>
      <w:pPr>
        <w:ind w:left="589" w:hanging="360"/>
      </w:pPr>
    </w:lvl>
    <w:lvl w:ilvl="2" w:tplc="0413001B" w:tentative="1">
      <w:start w:val="1"/>
      <w:numFmt w:val="lowerRoman"/>
      <w:lvlText w:val="%3."/>
      <w:lvlJc w:val="right"/>
      <w:pPr>
        <w:ind w:left="1309" w:hanging="180"/>
      </w:pPr>
    </w:lvl>
    <w:lvl w:ilvl="3" w:tplc="0413000F" w:tentative="1">
      <w:start w:val="1"/>
      <w:numFmt w:val="decimal"/>
      <w:lvlText w:val="%4."/>
      <w:lvlJc w:val="left"/>
      <w:pPr>
        <w:ind w:left="2029" w:hanging="360"/>
      </w:pPr>
    </w:lvl>
    <w:lvl w:ilvl="4" w:tplc="04130019" w:tentative="1">
      <w:start w:val="1"/>
      <w:numFmt w:val="lowerLetter"/>
      <w:lvlText w:val="%5."/>
      <w:lvlJc w:val="left"/>
      <w:pPr>
        <w:ind w:left="2749" w:hanging="360"/>
      </w:pPr>
    </w:lvl>
    <w:lvl w:ilvl="5" w:tplc="0413001B" w:tentative="1">
      <w:start w:val="1"/>
      <w:numFmt w:val="lowerRoman"/>
      <w:lvlText w:val="%6."/>
      <w:lvlJc w:val="right"/>
      <w:pPr>
        <w:ind w:left="3469" w:hanging="180"/>
      </w:pPr>
    </w:lvl>
    <w:lvl w:ilvl="6" w:tplc="0413000F" w:tentative="1">
      <w:start w:val="1"/>
      <w:numFmt w:val="decimal"/>
      <w:lvlText w:val="%7."/>
      <w:lvlJc w:val="left"/>
      <w:pPr>
        <w:ind w:left="4189" w:hanging="360"/>
      </w:pPr>
    </w:lvl>
    <w:lvl w:ilvl="7" w:tplc="04130019" w:tentative="1">
      <w:start w:val="1"/>
      <w:numFmt w:val="lowerLetter"/>
      <w:lvlText w:val="%8."/>
      <w:lvlJc w:val="left"/>
      <w:pPr>
        <w:ind w:left="4909" w:hanging="360"/>
      </w:pPr>
    </w:lvl>
    <w:lvl w:ilvl="8" w:tplc="0413001B" w:tentative="1">
      <w:start w:val="1"/>
      <w:numFmt w:val="lowerRoman"/>
      <w:lvlText w:val="%9."/>
      <w:lvlJc w:val="right"/>
      <w:pPr>
        <w:ind w:left="5629" w:hanging="180"/>
      </w:pPr>
    </w:lvl>
  </w:abstractNum>
  <w:abstractNum w:abstractNumId="20">
    <w:nsid w:val="697628B5"/>
    <w:multiLevelType w:val="hybridMultilevel"/>
    <w:tmpl w:val="4D62FD7C"/>
    <w:lvl w:ilvl="0" w:tplc="04130017">
      <w:start w:val="1"/>
      <w:numFmt w:val="lowerLetter"/>
      <w:lvlText w:val="%1)"/>
      <w:lvlJc w:val="left"/>
      <w:pPr>
        <w:ind w:left="720" w:hanging="360"/>
      </w:pPr>
    </w:lvl>
    <w:lvl w:ilvl="1" w:tplc="04130017">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AAB6AEF"/>
    <w:multiLevelType w:val="hybridMultilevel"/>
    <w:tmpl w:val="CDB05D9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4"/>
  </w:num>
  <w:num w:numId="2">
    <w:abstractNumId w:val="1"/>
  </w:num>
  <w:num w:numId="3">
    <w:abstractNumId w:val="19"/>
  </w:num>
  <w:num w:numId="4">
    <w:abstractNumId w:val="11"/>
  </w:num>
  <w:num w:numId="5">
    <w:abstractNumId w:val="13"/>
  </w:num>
  <w:num w:numId="6">
    <w:abstractNumId w:val="8"/>
  </w:num>
  <w:num w:numId="7">
    <w:abstractNumId w:val="6"/>
  </w:num>
  <w:num w:numId="8">
    <w:abstractNumId w:val="0"/>
  </w:num>
  <w:num w:numId="9">
    <w:abstractNumId w:val="17"/>
  </w:num>
  <w:num w:numId="10">
    <w:abstractNumId w:val="9"/>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 w:numId="16">
    <w:abstractNumId w:val="12"/>
  </w:num>
  <w:num w:numId="17">
    <w:abstractNumId w:val="2"/>
  </w:num>
  <w:num w:numId="18">
    <w:abstractNumId w:val="15"/>
  </w:num>
  <w:num w:numId="19">
    <w:abstractNumId w:val="4"/>
  </w:num>
  <w:num w:numId="20">
    <w:abstractNumId w:val="16"/>
  </w:num>
  <w:num w:numId="21">
    <w:abstractNumId w:val="20"/>
  </w:num>
  <w:num w:numId="22">
    <w:abstractNumId w:val="18"/>
  </w:num>
  <w:num w:numId="23">
    <w:abstractNumId w:val="13"/>
  </w:num>
  <w:num w:numId="24">
    <w:abstractNumId w:val="7"/>
  </w:num>
  <w:num w:numId="25">
    <w:abstractNumId w:val="13"/>
  </w:num>
  <w:num w:numId="26">
    <w:abstractNumId w:val="13"/>
  </w:num>
  <w:num w:numId="27">
    <w:abstractNumId w:val="13"/>
  </w:num>
  <w:num w:numId="28">
    <w:abstractNumId w:val="13"/>
  </w:num>
  <w:num w:numId="29">
    <w:abstractNumId w:val="13"/>
  </w:num>
  <w:num w:numId="30">
    <w:abstractNumId w:val="21"/>
  </w:num>
  <w:num w:numId="31">
    <w:abstractNumId w:val="1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attachedTemplate r:id="rId1"/>
  <w:styleLockTheme/>
  <w:styleLockQFSet/>
  <w:defaultTabStop w:val="708"/>
  <w:autoHyphenation/>
  <w:hyphenationZone w:val="425"/>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B87"/>
    <w:rsid w:val="000007B4"/>
    <w:rsid w:val="00000F66"/>
    <w:rsid w:val="0000797A"/>
    <w:rsid w:val="0001176E"/>
    <w:rsid w:val="00013EB3"/>
    <w:rsid w:val="00021C89"/>
    <w:rsid w:val="00024319"/>
    <w:rsid w:val="00033B19"/>
    <w:rsid w:val="00044E23"/>
    <w:rsid w:val="00045953"/>
    <w:rsid w:val="00046C06"/>
    <w:rsid w:val="00047AC7"/>
    <w:rsid w:val="00055A26"/>
    <w:rsid w:val="000637AD"/>
    <w:rsid w:val="0006416B"/>
    <w:rsid w:val="00066C5D"/>
    <w:rsid w:val="00072D8F"/>
    <w:rsid w:val="00082851"/>
    <w:rsid w:val="000859EF"/>
    <w:rsid w:val="00085D69"/>
    <w:rsid w:val="000A0D0C"/>
    <w:rsid w:val="000B1BAF"/>
    <w:rsid w:val="000C06B7"/>
    <w:rsid w:val="000C3FD2"/>
    <w:rsid w:val="000C6B0E"/>
    <w:rsid w:val="000D1370"/>
    <w:rsid w:val="000E25E0"/>
    <w:rsid w:val="000E6F99"/>
    <w:rsid w:val="000E7897"/>
    <w:rsid w:val="000F108F"/>
    <w:rsid w:val="000F643E"/>
    <w:rsid w:val="00101D0D"/>
    <w:rsid w:val="00106F8A"/>
    <w:rsid w:val="001110BA"/>
    <w:rsid w:val="00115CBF"/>
    <w:rsid w:val="00120E2D"/>
    <w:rsid w:val="00125687"/>
    <w:rsid w:val="001409A7"/>
    <w:rsid w:val="00142D18"/>
    <w:rsid w:val="00142F21"/>
    <w:rsid w:val="00155171"/>
    <w:rsid w:val="00156364"/>
    <w:rsid w:val="00157531"/>
    <w:rsid w:val="00161917"/>
    <w:rsid w:val="001636E6"/>
    <w:rsid w:val="00173E9B"/>
    <w:rsid w:val="00176AB6"/>
    <w:rsid w:val="001912B7"/>
    <w:rsid w:val="00191449"/>
    <w:rsid w:val="00193E56"/>
    <w:rsid w:val="00194271"/>
    <w:rsid w:val="001A0D0E"/>
    <w:rsid w:val="001A3574"/>
    <w:rsid w:val="001B469E"/>
    <w:rsid w:val="001B6BE5"/>
    <w:rsid w:val="001B6E61"/>
    <w:rsid w:val="001C14F8"/>
    <w:rsid w:val="001C38BA"/>
    <w:rsid w:val="001C4079"/>
    <w:rsid w:val="001C72B3"/>
    <w:rsid w:val="001D192E"/>
    <w:rsid w:val="001D3447"/>
    <w:rsid w:val="001E292A"/>
    <w:rsid w:val="001F0461"/>
    <w:rsid w:val="001F0CE3"/>
    <w:rsid w:val="002015E2"/>
    <w:rsid w:val="00201BD3"/>
    <w:rsid w:val="002036DC"/>
    <w:rsid w:val="00220B87"/>
    <w:rsid w:val="0022110F"/>
    <w:rsid w:val="00237E68"/>
    <w:rsid w:val="002428B0"/>
    <w:rsid w:val="002556A9"/>
    <w:rsid w:val="002557EE"/>
    <w:rsid w:val="00264980"/>
    <w:rsid w:val="002731C1"/>
    <w:rsid w:val="00282DD0"/>
    <w:rsid w:val="00297131"/>
    <w:rsid w:val="002A21AA"/>
    <w:rsid w:val="002A4505"/>
    <w:rsid w:val="002B2FE5"/>
    <w:rsid w:val="002B5253"/>
    <w:rsid w:val="002C08E4"/>
    <w:rsid w:val="002C1A8C"/>
    <w:rsid w:val="002C4564"/>
    <w:rsid w:val="002D2FDF"/>
    <w:rsid w:val="002E0ADC"/>
    <w:rsid w:val="002E235F"/>
    <w:rsid w:val="002E3AFC"/>
    <w:rsid w:val="002E512B"/>
    <w:rsid w:val="002E6BA9"/>
    <w:rsid w:val="002F34B7"/>
    <w:rsid w:val="002F5F35"/>
    <w:rsid w:val="00300FA3"/>
    <w:rsid w:val="003057A1"/>
    <w:rsid w:val="00311129"/>
    <w:rsid w:val="003162EC"/>
    <w:rsid w:val="00324868"/>
    <w:rsid w:val="00325ADF"/>
    <w:rsid w:val="0032789B"/>
    <w:rsid w:val="00335FF4"/>
    <w:rsid w:val="00347973"/>
    <w:rsid w:val="00350408"/>
    <w:rsid w:val="00356683"/>
    <w:rsid w:val="0036163F"/>
    <w:rsid w:val="003708C0"/>
    <w:rsid w:val="0037230A"/>
    <w:rsid w:val="00390B5D"/>
    <w:rsid w:val="00395304"/>
    <w:rsid w:val="00396B08"/>
    <w:rsid w:val="003972A2"/>
    <w:rsid w:val="003A4E04"/>
    <w:rsid w:val="003A59C5"/>
    <w:rsid w:val="003A6B87"/>
    <w:rsid w:val="003A7814"/>
    <w:rsid w:val="003B028E"/>
    <w:rsid w:val="003B38B1"/>
    <w:rsid w:val="003D1FF6"/>
    <w:rsid w:val="003E3666"/>
    <w:rsid w:val="003E3D42"/>
    <w:rsid w:val="003F454C"/>
    <w:rsid w:val="00403302"/>
    <w:rsid w:val="00405920"/>
    <w:rsid w:val="004113A8"/>
    <w:rsid w:val="004126FA"/>
    <w:rsid w:val="004212CB"/>
    <w:rsid w:val="00423B5E"/>
    <w:rsid w:val="00431E90"/>
    <w:rsid w:val="00435027"/>
    <w:rsid w:val="0043516C"/>
    <w:rsid w:val="0043529E"/>
    <w:rsid w:val="004360BB"/>
    <w:rsid w:val="004410AA"/>
    <w:rsid w:val="00445840"/>
    <w:rsid w:val="00445E76"/>
    <w:rsid w:val="004460F5"/>
    <w:rsid w:val="00447745"/>
    <w:rsid w:val="004531D9"/>
    <w:rsid w:val="00456AEE"/>
    <w:rsid w:val="00456EC5"/>
    <w:rsid w:val="00465CD6"/>
    <w:rsid w:val="0047000C"/>
    <w:rsid w:val="00475FAC"/>
    <w:rsid w:val="00476DEF"/>
    <w:rsid w:val="0048769A"/>
    <w:rsid w:val="0049366A"/>
    <w:rsid w:val="00495489"/>
    <w:rsid w:val="004A0C1B"/>
    <w:rsid w:val="004B0167"/>
    <w:rsid w:val="004B1AE5"/>
    <w:rsid w:val="004C0353"/>
    <w:rsid w:val="004C5E51"/>
    <w:rsid w:val="004D0D1C"/>
    <w:rsid w:val="004E42DF"/>
    <w:rsid w:val="004E6008"/>
    <w:rsid w:val="004E60BB"/>
    <w:rsid w:val="004F1A8A"/>
    <w:rsid w:val="005105C7"/>
    <w:rsid w:val="00517F3A"/>
    <w:rsid w:val="005201FA"/>
    <w:rsid w:val="0052210D"/>
    <w:rsid w:val="005228A9"/>
    <w:rsid w:val="005234D6"/>
    <w:rsid w:val="0052395E"/>
    <w:rsid w:val="00535BD1"/>
    <w:rsid w:val="00540DE5"/>
    <w:rsid w:val="0054138C"/>
    <w:rsid w:val="00544AE7"/>
    <w:rsid w:val="00545715"/>
    <w:rsid w:val="005458EB"/>
    <w:rsid w:val="00546745"/>
    <w:rsid w:val="005471E6"/>
    <w:rsid w:val="0055596E"/>
    <w:rsid w:val="0056035E"/>
    <w:rsid w:val="00561537"/>
    <w:rsid w:val="00566F86"/>
    <w:rsid w:val="005735B0"/>
    <w:rsid w:val="00581F6E"/>
    <w:rsid w:val="00584104"/>
    <w:rsid w:val="005847A7"/>
    <w:rsid w:val="005850AC"/>
    <w:rsid w:val="00587B7E"/>
    <w:rsid w:val="005922C0"/>
    <w:rsid w:val="00596260"/>
    <w:rsid w:val="005A57BF"/>
    <w:rsid w:val="005A6416"/>
    <w:rsid w:val="005B1E29"/>
    <w:rsid w:val="005B6E4F"/>
    <w:rsid w:val="005D159C"/>
    <w:rsid w:val="005D1DB0"/>
    <w:rsid w:val="005D5722"/>
    <w:rsid w:val="005D6D05"/>
    <w:rsid w:val="005D6FAE"/>
    <w:rsid w:val="005D7B49"/>
    <w:rsid w:val="005E1647"/>
    <w:rsid w:val="005E5493"/>
    <w:rsid w:val="005E5559"/>
    <w:rsid w:val="005E5B21"/>
    <w:rsid w:val="005F2BD7"/>
    <w:rsid w:val="00605FEC"/>
    <w:rsid w:val="006067F7"/>
    <w:rsid w:val="006333B4"/>
    <w:rsid w:val="006348C6"/>
    <w:rsid w:val="00641622"/>
    <w:rsid w:val="00652CF2"/>
    <w:rsid w:val="006606C5"/>
    <w:rsid w:val="00663AB8"/>
    <w:rsid w:val="006644DE"/>
    <w:rsid w:val="00680C18"/>
    <w:rsid w:val="00682925"/>
    <w:rsid w:val="00694E20"/>
    <w:rsid w:val="006A069D"/>
    <w:rsid w:val="006A3953"/>
    <w:rsid w:val="006A4F7D"/>
    <w:rsid w:val="006A739A"/>
    <w:rsid w:val="006B05D3"/>
    <w:rsid w:val="006C7615"/>
    <w:rsid w:val="006D1811"/>
    <w:rsid w:val="006D3C88"/>
    <w:rsid w:val="006E1696"/>
    <w:rsid w:val="006E1F14"/>
    <w:rsid w:val="006F1548"/>
    <w:rsid w:val="00707AA7"/>
    <w:rsid w:val="00715FA2"/>
    <w:rsid w:val="0073320C"/>
    <w:rsid w:val="0075190D"/>
    <w:rsid w:val="007544F7"/>
    <w:rsid w:val="00755913"/>
    <w:rsid w:val="007578DA"/>
    <w:rsid w:val="007656A5"/>
    <w:rsid w:val="00772565"/>
    <w:rsid w:val="00772D8D"/>
    <w:rsid w:val="00773524"/>
    <w:rsid w:val="00776952"/>
    <w:rsid w:val="00785580"/>
    <w:rsid w:val="00792D46"/>
    <w:rsid w:val="007964F6"/>
    <w:rsid w:val="00797532"/>
    <w:rsid w:val="007A0B0D"/>
    <w:rsid w:val="007A73F6"/>
    <w:rsid w:val="007B275F"/>
    <w:rsid w:val="007B458B"/>
    <w:rsid w:val="007B62EA"/>
    <w:rsid w:val="007C0FE9"/>
    <w:rsid w:val="007D02BC"/>
    <w:rsid w:val="007E427F"/>
    <w:rsid w:val="007F2ED4"/>
    <w:rsid w:val="007F5CDD"/>
    <w:rsid w:val="00800707"/>
    <w:rsid w:val="00800AE9"/>
    <w:rsid w:val="008054DC"/>
    <w:rsid w:val="00811DCB"/>
    <w:rsid w:val="00812060"/>
    <w:rsid w:val="00825D90"/>
    <w:rsid w:val="00830E08"/>
    <w:rsid w:val="00833523"/>
    <w:rsid w:val="00834B8E"/>
    <w:rsid w:val="0083778E"/>
    <w:rsid w:val="00842F06"/>
    <w:rsid w:val="00847FFC"/>
    <w:rsid w:val="0085280C"/>
    <w:rsid w:val="0086112F"/>
    <w:rsid w:val="00863343"/>
    <w:rsid w:val="008675BF"/>
    <w:rsid w:val="008734E4"/>
    <w:rsid w:val="00882FF2"/>
    <w:rsid w:val="00883232"/>
    <w:rsid w:val="00885456"/>
    <w:rsid w:val="00895B9A"/>
    <w:rsid w:val="008A0A38"/>
    <w:rsid w:val="008A40C7"/>
    <w:rsid w:val="008A5D63"/>
    <w:rsid w:val="008C381F"/>
    <w:rsid w:val="008D76A2"/>
    <w:rsid w:val="008E3009"/>
    <w:rsid w:val="008F085D"/>
    <w:rsid w:val="008F27A1"/>
    <w:rsid w:val="00901007"/>
    <w:rsid w:val="0090137D"/>
    <w:rsid w:val="0090563D"/>
    <w:rsid w:val="00906474"/>
    <w:rsid w:val="009141CC"/>
    <w:rsid w:val="00914E9E"/>
    <w:rsid w:val="0091665F"/>
    <w:rsid w:val="00916CA5"/>
    <w:rsid w:val="00917D2F"/>
    <w:rsid w:val="0092321E"/>
    <w:rsid w:val="009252E0"/>
    <w:rsid w:val="00951FAF"/>
    <w:rsid w:val="00955113"/>
    <w:rsid w:val="00964331"/>
    <w:rsid w:val="009734D9"/>
    <w:rsid w:val="00973827"/>
    <w:rsid w:val="00976463"/>
    <w:rsid w:val="0098324E"/>
    <w:rsid w:val="009833D1"/>
    <w:rsid w:val="0098410E"/>
    <w:rsid w:val="00994C7F"/>
    <w:rsid w:val="009972C9"/>
    <w:rsid w:val="009A243C"/>
    <w:rsid w:val="009A4C96"/>
    <w:rsid w:val="009B7451"/>
    <w:rsid w:val="009B7B04"/>
    <w:rsid w:val="009C4E60"/>
    <w:rsid w:val="009D3507"/>
    <w:rsid w:val="009D7741"/>
    <w:rsid w:val="009E4D39"/>
    <w:rsid w:val="009E5B5A"/>
    <w:rsid w:val="009F67B5"/>
    <w:rsid w:val="00A00AB4"/>
    <w:rsid w:val="00A016FB"/>
    <w:rsid w:val="00A054FC"/>
    <w:rsid w:val="00A06359"/>
    <w:rsid w:val="00A06902"/>
    <w:rsid w:val="00A12589"/>
    <w:rsid w:val="00A12BE9"/>
    <w:rsid w:val="00A1451B"/>
    <w:rsid w:val="00A14745"/>
    <w:rsid w:val="00A14D23"/>
    <w:rsid w:val="00A34F2A"/>
    <w:rsid w:val="00A57B64"/>
    <w:rsid w:val="00A60B25"/>
    <w:rsid w:val="00A6479F"/>
    <w:rsid w:val="00A6566D"/>
    <w:rsid w:val="00A67824"/>
    <w:rsid w:val="00A71F90"/>
    <w:rsid w:val="00A73A79"/>
    <w:rsid w:val="00A810B1"/>
    <w:rsid w:val="00A85B75"/>
    <w:rsid w:val="00A8784C"/>
    <w:rsid w:val="00A90AA3"/>
    <w:rsid w:val="00A962A3"/>
    <w:rsid w:val="00AA5C6F"/>
    <w:rsid w:val="00AA69EC"/>
    <w:rsid w:val="00AB25B3"/>
    <w:rsid w:val="00AB6FD6"/>
    <w:rsid w:val="00AD06FC"/>
    <w:rsid w:val="00AD2D22"/>
    <w:rsid w:val="00AD4284"/>
    <w:rsid w:val="00AD42C4"/>
    <w:rsid w:val="00AD44FB"/>
    <w:rsid w:val="00AE0776"/>
    <w:rsid w:val="00AE6769"/>
    <w:rsid w:val="00AF0682"/>
    <w:rsid w:val="00AF66A9"/>
    <w:rsid w:val="00AF6C5B"/>
    <w:rsid w:val="00B14CB3"/>
    <w:rsid w:val="00B21003"/>
    <w:rsid w:val="00B21FDD"/>
    <w:rsid w:val="00B22ACC"/>
    <w:rsid w:val="00B239AB"/>
    <w:rsid w:val="00B438E2"/>
    <w:rsid w:val="00B47A76"/>
    <w:rsid w:val="00B52845"/>
    <w:rsid w:val="00B5762C"/>
    <w:rsid w:val="00B57DBB"/>
    <w:rsid w:val="00B62838"/>
    <w:rsid w:val="00B659C0"/>
    <w:rsid w:val="00B6727F"/>
    <w:rsid w:val="00B70AAE"/>
    <w:rsid w:val="00B741B3"/>
    <w:rsid w:val="00B745D2"/>
    <w:rsid w:val="00B74A87"/>
    <w:rsid w:val="00B81639"/>
    <w:rsid w:val="00B82927"/>
    <w:rsid w:val="00BA0062"/>
    <w:rsid w:val="00BA54ED"/>
    <w:rsid w:val="00BB025B"/>
    <w:rsid w:val="00BB38BF"/>
    <w:rsid w:val="00BB7E04"/>
    <w:rsid w:val="00BC4F07"/>
    <w:rsid w:val="00BC5DDD"/>
    <w:rsid w:val="00BD21DC"/>
    <w:rsid w:val="00BE4091"/>
    <w:rsid w:val="00BE71EE"/>
    <w:rsid w:val="00BF5A8B"/>
    <w:rsid w:val="00C02A1F"/>
    <w:rsid w:val="00C04F4E"/>
    <w:rsid w:val="00C10D9F"/>
    <w:rsid w:val="00C1691E"/>
    <w:rsid w:val="00C30982"/>
    <w:rsid w:val="00C30C7E"/>
    <w:rsid w:val="00C34381"/>
    <w:rsid w:val="00C34738"/>
    <w:rsid w:val="00C46735"/>
    <w:rsid w:val="00C5237F"/>
    <w:rsid w:val="00C523D2"/>
    <w:rsid w:val="00C55F49"/>
    <w:rsid w:val="00C63ACE"/>
    <w:rsid w:val="00C642BA"/>
    <w:rsid w:val="00C71E61"/>
    <w:rsid w:val="00C84B10"/>
    <w:rsid w:val="00C87DE3"/>
    <w:rsid w:val="00C925B7"/>
    <w:rsid w:val="00C93765"/>
    <w:rsid w:val="00C97A19"/>
    <w:rsid w:val="00CA4165"/>
    <w:rsid w:val="00CB472B"/>
    <w:rsid w:val="00CC4BAE"/>
    <w:rsid w:val="00CC6683"/>
    <w:rsid w:val="00CD5AFF"/>
    <w:rsid w:val="00CD5C8A"/>
    <w:rsid w:val="00CE1C4C"/>
    <w:rsid w:val="00CF04CA"/>
    <w:rsid w:val="00CF5AE4"/>
    <w:rsid w:val="00CF6ACA"/>
    <w:rsid w:val="00D05B7C"/>
    <w:rsid w:val="00D1208F"/>
    <w:rsid w:val="00D15B9D"/>
    <w:rsid w:val="00D16339"/>
    <w:rsid w:val="00D2243E"/>
    <w:rsid w:val="00D247B7"/>
    <w:rsid w:val="00D24EB9"/>
    <w:rsid w:val="00D349FF"/>
    <w:rsid w:val="00D47ACB"/>
    <w:rsid w:val="00D70160"/>
    <w:rsid w:val="00D730BE"/>
    <w:rsid w:val="00D746DF"/>
    <w:rsid w:val="00D96C66"/>
    <w:rsid w:val="00DA073B"/>
    <w:rsid w:val="00DA46EA"/>
    <w:rsid w:val="00DB03AF"/>
    <w:rsid w:val="00DB04CE"/>
    <w:rsid w:val="00DB3073"/>
    <w:rsid w:val="00DC16AC"/>
    <w:rsid w:val="00DC58F6"/>
    <w:rsid w:val="00DD3534"/>
    <w:rsid w:val="00DD4091"/>
    <w:rsid w:val="00DD4D41"/>
    <w:rsid w:val="00DE1A7B"/>
    <w:rsid w:val="00DF7931"/>
    <w:rsid w:val="00E03828"/>
    <w:rsid w:val="00E043D4"/>
    <w:rsid w:val="00E16809"/>
    <w:rsid w:val="00E16E10"/>
    <w:rsid w:val="00E2798D"/>
    <w:rsid w:val="00E3020F"/>
    <w:rsid w:val="00E355BF"/>
    <w:rsid w:val="00E35C2A"/>
    <w:rsid w:val="00E44551"/>
    <w:rsid w:val="00E44DCD"/>
    <w:rsid w:val="00E52CEE"/>
    <w:rsid w:val="00E57FEB"/>
    <w:rsid w:val="00E664F8"/>
    <w:rsid w:val="00E758FF"/>
    <w:rsid w:val="00E7793A"/>
    <w:rsid w:val="00E851C5"/>
    <w:rsid w:val="00E9008B"/>
    <w:rsid w:val="00EA4621"/>
    <w:rsid w:val="00EC2576"/>
    <w:rsid w:val="00EC38C5"/>
    <w:rsid w:val="00EC700E"/>
    <w:rsid w:val="00ED04E6"/>
    <w:rsid w:val="00EE0481"/>
    <w:rsid w:val="00EE1D90"/>
    <w:rsid w:val="00F0386F"/>
    <w:rsid w:val="00F102C2"/>
    <w:rsid w:val="00F10CF8"/>
    <w:rsid w:val="00F154D5"/>
    <w:rsid w:val="00F158FA"/>
    <w:rsid w:val="00F16AAF"/>
    <w:rsid w:val="00F20BCF"/>
    <w:rsid w:val="00F22C6D"/>
    <w:rsid w:val="00F3013D"/>
    <w:rsid w:val="00F3118A"/>
    <w:rsid w:val="00F313F1"/>
    <w:rsid w:val="00F3226A"/>
    <w:rsid w:val="00F3353C"/>
    <w:rsid w:val="00F36AB6"/>
    <w:rsid w:val="00F43AD2"/>
    <w:rsid w:val="00F43F27"/>
    <w:rsid w:val="00F4616B"/>
    <w:rsid w:val="00F47536"/>
    <w:rsid w:val="00F53FA7"/>
    <w:rsid w:val="00F57CB9"/>
    <w:rsid w:val="00F649AA"/>
    <w:rsid w:val="00F703DD"/>
    <w:rsid w:val="00F76608"/>
    <w:rsid w:val="00F83C59"/>
    <w:rsid w:val="00F859F3"/>
    <w:rsid w:val="00FA7525"/>
    <w:rsid w:val="00FA75D4"/>
    <w:rsid w:val="00FB0379"/>
    <w:rsid w:val="00FB1C51"/>
    <w:rsid w:val="00FB2485"/>
    <w:rsid w:val="00FB48C3"/>
    <w:rsid w:val="00FC06F7"/>
    <w:rsid w:val="00FC714C"/>
    <w:rsid w:val="00FD285B"/>
    <w:rsid w:val="00FD7E7B"/>
    <w:rsid w:val="00FE4038"/>
    <w:rsid w:val="00FF5336"/>
    <w:rsid w:val="00FF58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18"/>
        <w:szCs w:val="18"/>
        <w:lang w:val="nl-NL" w:eastAsia="en-US" w:bidi="ar-SA"/>
      </w:rPr>
    </w:rPrDefault>
    <w:pPrDefault>
      <w:pPr>
        <w:spacing w:before="60" w:after="60" w:line="260" w:lineRule="atLeast"/>
        <w:ind w:left="-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footnote reference" w:uiPriority="0"/>
    <w:lsdException w:name="Title" w:locked="1" w:semiHidden="0" w:uiPriority="10" w:unhideWhenUsed="0" w:qFormat="1"/>
    <w:lsdException w:name="Default Paragraph Font" w:uiPriority="1"/>
    <w:lsdException w:name="Subtitle" w:locked="1" w:semiHidden="0" w:uiPriority="11" w:unhideWhenUsed="0" w:qFormat="1"/>
    <w:lsdException w:name="Hyperlink" w:locked="1"/>
    <w:lsdException w:name="Strong" w:locked="1" w:uiPriority="22" w:unhideWhenUsed="0" w:qFormat="1"/>
    <w:lsdException w:name="Emphasis" w:locked="1" w:uiPriority="20" w:unhideWhenUsed="0" w:qFormat="1"/>
    <w:lsdException w:name="HTML Acronym" w:locked="1"/>
    <w:lsdException w:name="HTML Cite" w:locked="1"/>
    <w:lsdException w:name="HTML Code" w:locked="1"/>
    <w:lsdException w:name="HTML Definition" w:locked="1"/>
    <w:lsdException w:name="HTML Keyboard" w:locked="1"/>
    <w:lsdException w:name="HTML Sample" w:locked="1"/>
    <w:lsdException w:name="HTML Typewriter" w:locked="1"/>
    <w:lsdException w:name="HTML Variable" w:locked="1"/>
    <w:lsdException w:name="Table Web 1" w:locked="1"/>
    <w:lsdException w:name="Table Web 2" w:locked="1"/>
    <w:lsdException w:name="Table Web 3" w:locked="1"/>
    <w:lsdException w:name="Table Grid" w:locked="1" w:semiHidden="0" w:uiPriority="0" w:unhideWhenUsed="0"/>
    <w:lsdException w:name="Placeholder Text" w:unhideWhenUsed="0"/>
    <w:lsdException w:name="No Spacing" w:locked="1" w:semiHidden="0" w:uiPriority="1" w:unhideWhenUsed="0"/>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uiPriority="29" w:unhideWhenUsed="0" w:qFormat="1"/>
    <w:lsdException w:name="Intense Quote" w:locked="1"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iPriority="19" w:unhideWhenUsed="0"/>
    <w:lsdException w:name="Intense Emphasis" w:locked="1" w:uiPriority="21" w:unhideWhenUsed="0" w:qFormat="1"/>
    <w:lsdException w:name="Subtle Reference" w:locked="1" w:uiPriority="31" w:unhideWhenUsed="0" w:qFormat="1"/>
    <w:lsdException w:name="Intense Reference" w:locked="1" w:uiPriority="32" w:unhideWhenUsed="0" w:qFormat="1"/>
    <w:lsdException w:name="Book Title" w:locked="1" w:uiPriority="33" w:unhideWhenUsed="0" w:qFormat="1"/>
    <w:lsdException w:name="Bibliography" w:uiPriority="37"/>
    <w:lsdException w:name="TOC Heading" w:uiPriority="39" w:qFormat="1"/>
  </w:latentStyles>
  <w:style w:type="paragraph" w:default="1" w:styleId="Standard">
    <w:name w:val="Normal"/>
    <w:qFormat/>
    <w:rsid w:val="00A1451B"/>
    <w:pPr>
      <w:ind w:left="0"/>
      <w:jc w:val="both"/>
    </w:pPr>
  </w:style>
  <w:style w:type="paragraph" w:styleId="berschrift1">
    <w:name w:val="heading 1"/>
    <w:basedOn w:val="Standard"/>
    <w:next w:val="Standard"/>
    <w:link w:val="Kop1Char"/>
    <w:uiPriority w:val="1"/>
    <w:qFormat/>
    <w:rsid w:val="00E9008B"/>
    <w:pPr>
      <w:keepNext/>
      <w:keepLines/>
      <w:pageBreakBefore/>
      <w:numPr>
        <w:numId w:val="2"/>
      </w:numPr>
      <w:spacing w:before="0" w:after="240"/>
      <w:ind w:left="0" w:hanging="851"/>
      <w:outlineLvl w:val="0"/>
    </w:pPr>
    <w:rPr>
      <w:rFonts w:eastAsiaTheme="majorEastAsia" w:cstheme="majorBidi"/>
      <w:b/>
      <w:bCs/>
      <w:color w:val="000080"/>
      <w:sz w:val="28"/>
      <w:szCs w:val="28"/>
    </w:rPr>
  </w:style>
  <w:style w:type="paragraph" w:styleId="berschrift2">
    <w:name w:val="heading 2"/>
    <w:basedOn w:val="Standard"/>
    <w:next w:val="Standard"/>
    <w:link w:val="Kop2Char"/>
    <w:uiPriority w:val="1"/>
    <w:qFormat/>
    <w:rsid w:val="00142F21"/>
    <w:pPr>
      <w:keepNext/>
      <w:keepLines/>
      <w:numPr>
        <w:ilvl w:val="1"/>
        <w:numId w:val="2"/>
      </w:numPr>
      <w:spacing w:before="240"/>
      <w:ind w:left="0" w:hanging="851"/>
      <w:outlineLvl w:val="1"/>
    </w:pPr>
    <w:rPr>
      <w:rFonts w:eastAsiaTheme="majorEastAsia" w:cstheme="majorBidi"/>
      <w:b/>
      <w:bCs/>
      <w:color w:val="000080"/>
      <w:sz w:val="24"/>
      <w:szCs w:val="26"/>
    </w:rPr>
  </w:style>
  <w:style w:type="paragraph" w:styleId="berschrift3">
    <w:name w:val="heading 3"/>
    <w:basedOn w:val="Standard"/>
    <w:next w:val="Standard"/>
    <w:link w:val="Kop3Char"/>
    <w:uiPriority w:val="1"/>
    <w:qFormat/>
    <w:rsid w:val="00142F21"/>
    <w:pPr>
      <w:keepNext/>
      <w:keepLines/>
      <w:numPr>
        <w:ilvl w:val="2"/>
        <w:numId w:val="2"/>
      </w:numPr>
      <w:spacing w:before="180"/>
      <w:ind w:left="0" w:hanging="851"/>
      <w:outlineLvl w:val="2"/>
    </w:pPr>
    <w:rPr>
      <w:rFonts w:eastAsiaTheme="majorEastAsia" w:cstheme="majorBidi"/>
      <w:b/>
      <w:bCs/>
      <w:color w:val="000080"/>
    </w:rPr>
  </w:style>
  <w:style w:type="paragraph" w:styleId="berschrift4">
    <w:name w:val="heading 4"/>
    <w:basedOn w:val="Standard"/>
    <w:next w:val="Standard"/>
    <w:link w:val="Kop4Char"/>
    <w:uiPriority w:val="1"/>
    <w:qFormat/>
    <w:rsid w:val="00142F21"/>
    <w:pPr>
      <w:keepNext/>
      <w:keepLines/>
      <w:spacing w:before="200" w:after="0"/>
      <w:outlineLvl w:val="3"/>
    </w:pPr>
    <w:rPr>
      <w:rFonts w:eastAsiaTheme="majorEastAsia" w:cstheme="majorBidi"/>
      <w:b/>
      <w:bCs/>
      <w:iCs/>
      <w:color w:val="000080"/>
    </w:rPr>
  </w:style>
  <w:style w:type="paragraph" w:styleId="berschrift5">
    <w:name w:val="heading 5"/>
    <w:basedOn w:val="Standard"/>
    <w:next w:val="Standard"/>
    <w:link w:val="Kop5Char"/>
    <w:uiPriority w:val="1"/>
    <w:semiHidden/>
    <w:locked/>
    <w:rsid w:val="00D47ACB"/>
    <w:pPr>
      <w:keepNext/>
      <w:keepLines/>
      <w:numPr>
        <w:ilvl w:val="4"/>
        <w:numId w:val="2"/>
      </w:numPr>
      <w:spacing w:before="200" w:after="0"/>
      <w:outlineLvl w:val="4"/>
    </w:pPr>
    <w:rPr>
      <w:rFonts w:eastAsiaTheme="majorEastAsia" w:cstheme="majorBidi"/>
      <w:color w:val="243F60" w:themeColor="accent1" w:themeShade="7F"/>
    </w:rPr>
  </w:style>
  <w:style w:type="paragraph" w:styleId="berschrift6">
    <w:name w:val="heading 6"/>
    <w:basedOn w:val="Standard"/>
    <w:next w:val="Standard"/>
    <w:link w:val="Kop6Char"/>
    <w:uiPriority w:val="9"/>
    <w:semiHidden/>
    <w:unhideWhenUsed/>
    <w:qFormat/>
    <w:locked/>
    <w:rsid w:val="00D47ACB"/>
    <w:pPr>
      <w:keepNext/>
      <w:keepLines/>
      <w:numPr>
        <w:ilvl w:val="5"/>
        <w:numId w:val="2"/>
      </w:numPr>
      <w:spacing w:before="200" w:after="0"/>
      <w:outlineLvl w:val="5"/>
    </w:pPr>
    <w:rPr>
      <w:rFonts w:eastAsiaTheme="majorEastAsia" w:cstheme="majorBidi"/>
      <w:i/>
      <w:iCs/>
      <w:color w:val="243F60" w:themeColor="accent1" w:themeShade="7F"/>
    </w:rPr>
  </w:style>
  <w:style w:type="paragraph" w:styleId="berschrift7">
    <w:name w:val="heading 7"/>
    <w:basedOn w:val="Standard"/>
    <w:next w:val="Standard"/>
    <w:link w:val="Kop7Char"/>
    <w:uiPriority w:val="9"/>
    <w:semiHidden/>
    <w:unhideWhenUsed/>
    <w:qFormat/>
    <w:locked/>
    <w:rsid w:val="00D47ACB"/>
    <w:pPr>
      <w:keepNext/>
      <w:keepLines/>
      <w:numPr>
        <w:ilvl w:val="6"/>
        <w:numId w:val="2"/>
      </w:numPr>
      <w:spacing w:before="200" w:after="0"/>
      <w:outlineLvl w:val="6"/>
    </w:pPr>
    <w:rPr>
      <w:rFonts w:eastAsiaTheme="majorEastAsia" w:cstheme="majorBidi"/>
      <w:i/>
      <w:iCs/>
      <w:color w:val="404040" w:themeColor="text1" w:themeTint="BF"/>
    </w:rPr>
  </w:style>
  <w:style w:type="paragraph" w:styleId="berschrift8">
    <w:name w:val="heading 8"/>
    <w:basedOn w:val="Standard"/>
    <w:next w:val="Standard"/>
    <w:link w:val="Kop8Char"/>
    <w:uiPriority w:val="9"/>
    <w:semiHidden/>
    <w:unhideWhenUsed/>
    <w:qFormat/>
    <w:locked/>
    <w:rsid w:val="00D47ACB"/>
    <w:pPr>
      <w:keepNext/>
      <w:keepLines/>
      <w:numPr>
        <w:ilvl w:val="7"/>
        <w:numId w:val="2"/>
      </w:numPr>
      <w:spacing w:before="200" w:after="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Kop9Char"/>
    <w:uiPriority w:val="9"/>
    <w:semiHidden/>
    <w:unhideWhenUsed/>
    <w:qFormat/>
    <w:locked/>
    <w:rsid w:val="00D47ACB"/>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ondertitel">
    <w:name w:val="Titel (ondertitel)"/>
    <w:basedOn w:val="Standard"/>
    <w:locked/>
    <w:rsid w:val="00AE6769"/>
    <w:pPr>
      <w:overflowPunct w:val="0"/>
      <w:autoSpaceDE w:val="0"/>
      <w:autoSpaceDN w:val="0"/>
      <w:adjustRightInd w:val="0"/>
      <w:spacing w:before="0" w:after="0"/>
      <w:jc w:val="center"/>
      <w:textAlignment w:val="baseline"/>
    </w:pPr>
    <w:rPr>
      <w:rFonts w:ascii="Trebuchet MS" w:eastAsia="Times New Roman" w:hAnsi="Trebuchet MS" w:cs="Times New Roman"/>
      <w:b/>
      <w:color w:val="333399"/>
      <w:kern w:val="24"/>
      <w:sz w:val="24"/>
      <w:szCs w:val="20"/>
    </w:rPr>
  </w:style>
  <w:style w:type="paragraph" w:styleId="Titel">
    <w:name w:val="Title"/>
    <w:basedOn w:val="Standard"/>
    <w:next w:val="Standard"/>
    <w:link w:val="TitelChar"/>
    <w:uiPriority w:val="10"/>
    <w:qFormat/>
    <w:locked/>
    <w:rsid w:val="0054138C"/>
    <w:pPr>
      <w:overflowPunct w:val="0"/>
      <w:autoSpaceDE w:val="0"/>
      <w:autoSpaceDN w:val="0"/>
      <w:adjustRightInd w:val="0"/>
      <w:spacing w:before="0" w:after="0"/>
      <w:jc w:val="center"/>
      <w:textAlignment w:val="baseline"/>
    </w:pPr>
    <w:rPr>
      <w:rFonts w:ascii="Trebuchet MS" w:eastAsia="Times New Roman" w:hAnsi="Trebuchet MS" w:cs="Times New Roman"/>
      <w:b/>
      <w:color w:val="333399"/>
      <w:kern w:val="24"/>
      <w:sz w:val="36"/>
      <w:szCs w:val="20"/>
    </w:rPr>
  </w:style>
  <w:style w:type="character" w:customStyle="1" w:styleId="TitelChar">
    <w:name w:val="Titel Char"/>
    <w:basedOn w:val="Absatz-Standardschriftart"/>
    <w:link w:val="Titel"/>
    <w:uiPriority w:val="10"/>
    <w:rsid w:val="009141CC"/>
    <w:rPr>
      <w:rFonts w:ascii="Trebuchet MS" w:eastAsia="Times New Roman" w:hAnsi="Trebuchet MS" w:cs="Times New Roman"/>
      <w:b/>
      <w:noProof/>
      <w:color w:val="333399"/>
      <w:kern w:val="24"/>
      <w:sz w:val="36"/>
      <w:szCs w:val="20"/>
    </w:rPr>
  </w:style>
  <w:style w:type="paragraph" w:styleId="Untertitel">
    <w:name w:val="Subtitle"/>
    <w:basedOn w:val="Titelondertitel"/>
    <w:next w:val="Standard"/>
    <w:link w:val="OndertitelChar"/>
    <w:uiPriority w:val="11"/>
    <w:semiHidden/>
    <w:qFormat/>
    <w:locked/>
    <w:rsid w:val="00AE6769"/>
  </w:style>
  <w:style w:type="character" w:customStyle="1" w:styleId="OndertitelChar">
    <w:name w:val="Ondertitel Char"/>
    <w:basedOn w:val="Absatz-Standardschriftart"/>
    <w:link w:val="Untertitel"/>
    <w:uiPriority w:val="11"/>
    <w:semiHidden/>
    <w:rsid w:val="009141CC"/>
    <w:rPr>
      <w:rFonts w:ascii="Trebuchet MS" w:eastAsia="Times New Roman" w:hAnsi="Trebuchet MS" w:cs="Times New Roman"/>
      <w:b/>
      <w:noProof/>
      <w:color w:val="333399"/>
      <w:kern w:val="24"/>
      <w:sz w:val="24"/>
      <w:szCs w:val="20"/>
    </w:rPr>
  </w:style>
  <w:style w:type="paragraph" w:styleId="Kopfzeile">
    <w:name w:val="header"/>
    <w:basedOn w:val="Standard"/>
    <w:link w:val="KoptekstChar"/>
    <w:rsid w:val="00476DEF"/>
    <w:pPr>
      <w:tabs>
        <w:tab w:val="center" w:pos="4536"/>
        <w:tab w:val="right" w:pos="9072"/>
      </w:tabs>
      <w:spacing w:before="0" w:after="0" w:line="240" w:lineRule="atLeast"/>
    </w:pPr>
    <w:rPr>
      <w:rFonts w:ascii="Trebuchet MS" w:hAnsi="Trebuchet MS"/>
      <w:sz w:val="14"/>
    </w:rPr>
  </w:style>
  <w:style w:type="character" w:customStyle="1" w:styleId="KoptekstChar">
    <w:name w:val="Koptekst Char"/>
    <w:basedOn w:val="Absatz-Standardschriftart"/>
    <w:link w:val="Kopfzeile"/>
    <w:rsid w:val="00842F06"/>
    <w:rPr>
      <w:rFonts w:ascii="Trebuchet MS" w:hAnsi="Trebuchet MS"/>
      <w:noProof/>
      <w:sz w:val="14"/>
    </w:rPr>
  </w:style>
  <w:style w:type="paragraph" w:styleId="Fuzeile">
    <w:name w:val="footer"/>
    <w:basedOn w:val="Standard"/>
    <w:link w:val="VoettekstChar"/>
    <w:uiPriority w:val="99"/>
    <w:rsid w:val="00AF6C5B"/>
    <w:pPr>
      <w:tabs>
        <w:tab w:val="center" w:pos="4536"/>
        <w:tab w:val="right" w:pos="9072"/>
      </w:tabs>
      <w:spacing w:before="0" w:after="0" w:line="240" w:lineRule="atLeast"/>
    </w:pPr>
    <w:rPr>
      <w:rFonts w:ascii="Trebuchet MS" w:hAnsi="Trebuchet MS"/>
      <w:sz w:val="14"/>
    </w:rPr>
  </w:style>
  <w:style w:type="character" w:customStyle="1" w:styleId="VoettekstChar">
    <w:name w:val="Voettekst Char"/>
    <w:basedOn w:val="Absatz-Standardschriftart"/>
    <w:link w:val="Fuzeile"/>
    <w:uiPriority w:val="99"/>
    <w:rsid w:val="00842F06"/>
    <w:rPr>
      <w:rFonts w:ascii="Trebuchet MS" w:hAnsi="Trebuchet MS"/>
      <w:noProof/>
      <w:sz w:val="14"/>
    </w:rPr>
  </w:style>
  <w:style w:type="table" w:styleId="Tabellenraster">
    <w:name w:val="Table Grid"/>
    <w:aliases w:val="SIRA Koptabel"/>
    <w:basedOn w:val="NormaleTabelle"/>
    <w:locked/>
    <w:rsid w:val="0051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locked/>
    <w:rsid w:val="005105C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IRAKop-envoettabellen">
    <w:name w:val="SIRA Kop- en voettabellen"/>
    <w:basedOn w:val="NormaleTabelle"/>
    <w:uiPriority w:val="99"/>
    <w:locked/>
    <w:rsid w:val="00A6566D"/>
    <w:pPr>
      <w:spacing w:after="0" w:line="240" w:lineRule="atLeast"/>
    </w:pPr>
    <w:rPr>
      <w:sz w:val="14"/>
    </w:rPr>
    <w:tblPr>
      <w:tblInd w:w="-851" w:type="dxa"/>
      <w:tblCellMar>
        <w:left w:w="0" w:type="dxa"/>
        <w:right w:w="0" w:type="dxa"/>
      </w:tblCellMar>
    </w:tblPr>
  </w:style>
  <w:style w:type="paragraph" w:styleId="Sprechblasentext">
    <w:name w:val="Balloon Text"/>
    <w:basedOn w:val="Standard"/>
    <w:link w:val="BallontekstChar"/>
    <w:uiPriority w:val="99"/>
    <w:semiHidden/>
    <w:unhideWhenUsed/>
    <w:rsid w:val="00AF6C5B"/>
    <w:pPr>
      <w:spacing w:before="0" w:after="0" w:line="240" w:lineRule="auto"/>
    </w:pPr>
    <w:rPr>
      <w:rFonts w:ascii="Tahoma" w:hAnsi="Tahoma" w:cs="Tahoma"/>
      <w:sz w:val="16"/>
      <w:szCs w:val="16"/>
    </w:rPr>
  </w:style>
  <w:style w:type="character" w:customStyle="1" w:styleId="BallontekstChar">
    <w:name w:val="Ballontekst Char"/>
    <w:basedOn w:val="Absatz-Standardschriftart"/>
    <w:link w:val="Sprechblasentext"/>
    <w:uiPriority w:val="99"/>
    <w:semiHidden/>
    <w:rsid w:val="00AF6C5B"/>
    <w:rPr>
      <w:rFonts w:ascii="Tahoma" w:hAnsi="Tahoma" w:cs="Tahoma"/>
      <w:sz w:val="16"/>
      <w:szCs w:val="16"/>
      <w:lang w:val="en-IE"/>
    </w:rPr>
  </w:style>
  <w:style w:type="table" w:customStyle="1" w:styleId="SIRA-Voorpaginatabel">
    <w:name w:val="SIRA - Voorpaginatabel"/>
    <w:basedOn w:val="NormaleTabelle"/>
    <w:uiPriority w:val="99"/>
    <w:locked/>
    <w:rsid w:val="00476DEF"/>
    <w:pPr>
      <w:spacing w:after="0"/>
      <w:ind w:left="0"/>
    </w:pPr>
    <w:tblPr>
      <w:tblCellMar>
        <w:left w:w="0" w:type="dxa"/>
        <w:right w:w="0" w:type="dxa"/>
      </w:tblCellMar>
    </w:tblPr>
  </w:style>
  <w:style w:type="character" w:customStyle="1" w:styleId="Kop1Char">
    <w:name w:val="Kop 1 Char"/>
    <w:basedOn w:val="Absatz-Standardschriftart"/>
    <w:link w:val="berschrift1"/>
    <w:uiPriority w:val="1"/>
    <w:rsid w:val="009141CC"/>
    <w:rPr>
      <w:rFonts w:eastAsiaTheme="majorEastAsia" w:cstheme="majorBidi"/>
      <w:b/>
      <w:bCs/>
      <w:noProof/>
      <w:color w:val="000080"/>
      <w:sz w:val="28"/>
      <w:szCs w:val="28"/>
    </w:rPr>
  </w:style>
  <w:style w:type="character" w:customStyle="1" w:styleId="Kop2Char">
    <w:name w:val="Kop 2 Char"/>
    <w:basedOn w:val="Absatz-Standardschriftart"/>
    <w:link w:val="berschrift2"/>
    <w:uiPriority w:val="1"/>
    <w:rsid w:val="009141CC"/>
    <w:rPr>
      <w:rFonts w:eastAsiaTheme="majorEastAsia" w:cstheme="majorBidi"/>
      <w:b/>
      <w:bCs/>
      <w:noProof/>
      <w:color w:val="000080"/>
      <w:sz w:val="24"/>
      <w:szCs w:val="26"/>
    </w:rPr>
  </w:style>
  <w:style w:type="character" w:customStyle="1" w:styleId="Kop3Char">
    <w:name w:val="Kop 3 Char"/>
    <w:basedOn w:val="Absatz-Standardschriftart"/>
    <w:link w:val="berschrift3"/>
    <w:uiPriority w:val="1"/>
    <w:rsid w:val="009141CC"/>
    <w:rPr>
      <w:rFonts w:eastAsiaTheme="majorEastAsia" w:cstheme="majorBidi"/>
      <w:b/>
      <w:bCs/>
      <w:noProof/>
      <w:color w:val="000080"/>
    </w:rPr>
  </w:style>
  <w:style w:type="character" w:customStyle="1" w:styleId="Kop4Char">
    <w:name w:val="Kop 4 Char"/>
    <w:basedOn w:val="Absatz-Standardschriftart"/>
    <w:link w:val="berschrift4"/>
    <w:uiPriority w:val="1"/>
    <w:rsid w:val="009141CC"/>
    <w:rPr>
      <w:rFonts w:eastAsiaTheme="majorEastAsia" w:cstheme="majorBidi"/>
      <w:b/>
      <w:bCs/>
      <w:iCs/>
      <w:noProof/>
      <w:color w:val="000080"/>
    </w:rPr>
  </w:style>
  <w:style w:type="character" w:customStyle="1" w:styleId="Kop5Char">
    <w:name w:val="Kop 5 Char"/>
    <w:basedOn w:val="Absatz-Standardschriftart"/>
    <w:link w:val="berschrift5"/>
    <w:uiPriority w:val="1"/>
    <w:semiHidden/>
    <w:rsid w:val="009141CC"/>
    <w:rPr>
      <w:rFonts w:eastAsiaTheme="majorEastAsia" w:cstheme="majorBidi"/>
      <w:noProof/>
      <w:color w:val="243F60" w:themeColor="accent1" w:themeShade="7F"/>
    </w:rPr>
  </w:style>
  <w:style w:type="character" w:customStyle="1" w:styleId="Kop6Char">
    <w:name w:val="Kop 6 Char"/>
    <w:basedOn w:val="Absatz-Standardschriftart"/>
    <w:link w:val="berschrift6"/>
    <w:uiPriority w:val="9"/>
    <w:semiHidden/>
    <w:rsid w:val="00D47ACB"/>
    <w:rPr>
      <w:rFonts w:eastAsiaTheme="majorEastAsia" w:cstheme="majorBidi"/>
      <w:i/>
      <w:iCs/>
      <w:color w:val="243F60" w:themeColor="accent1" w:themeShade="7F"/>
    </w:rPr>
  </w:style>
  <w:style w:type="character" w:customStyle="1" w:styleId="Kop7Char">
    <w:name w:val="Kop 7 Char"/>
    <w:basedOn w:val="Absatz-Standardschriftart"/>
    <w:link w:val="berschrift7"/>
    <w:uiPriority w:val="9"/>
    <w:semiHidden/>
    <w:rsid w:val="00D47ACB"/>
    <w:rPr>
      <w:rFonts w:eastAsiaTheme="majorEastAsia" w:cstheme="majorBidi"/>
      <w:i/>
      <w:iCs/>
      <w:color w:val="404040" w:themeColor="text1" w:themeTint="BF"/>
    </w:rPr>
  </w:style>
  <w:style w:type="character" w:customStyle="1" w:styleId="Kop8Char">
    <w:name w:val="Kop 8 Char"/>
    <w:basedOn w:val="Absatz-Standardschriftart"/>
    <w:link w:val="berschrift8"/>
    <w:uiPriority w:val="9"/>
    <w:semiHidden/>
    <w:rsid w:val="00D47ACB"/>
    <w:rPr>
      <w:rFonts w:eastAsiaTheme="majorEastAsia" w:cstheme="majorBidi"/>
      <w:color w:val="404040" w:themeColor="text1" w:themeTint="BF"/>
      <w:sz w:val="20"/>
      <w:szCs w:val="20"/>
    </w:rPr>
  </w:style>
  <w:style w:type="character" w:customStyle="1" w:styleId="Kop9Char">
    <w:name w:val="Kop 9 Char"/>
    <w:basedOn w:val="Absatz-Standardschriftart"/>
    <w:link w:val="berschrift9"/>
    <w:uiPriority w:val="9"/>
    <w:semiHidden/>
    <w:rsid w:val="00D47ACB"/>
    <w:rPr>
      <w:rFonts w:eastAsiaTheme="majorEastAsia" w:cstheme="majorBidi"/>
      <w:i/>
      <w:iCs/>
      <w:color w:val="404040" w:themeColor="text1" w:themeTint="BF"/>
      <w:sz w:val="20"/>
      <w:szCs w:val="20"/>
    </w:rPr>
  </w:style>
  <w:style w:type="paragraph" w:styleId="Verzeichnis2">
    <w:name w:val="toc 2"/>
    <w:basedOn w:val="Standard"/>
    <w:next w:val="Standard"/>
    <w:autoRedefine/>
    <w:uiPriority w:val="39"/>
    <w:rsid w:val="006E1F14"/>
    <w:pPr>
      <w:ind w:hanging="851"/>
    </w:pPr>
  </w:style>
  <w:style w:type="paragraph" w:styleId="Verzeichnis1">
    <w:name w:val="toc 1"/>
    <w:basedOn w:val="Standard"/>
    <w:next w:val="Standard"/>
    <w:autoRedefine/>
    <w:uiPriority w:val="39"/>
    <w:rsid w:val="00E52CEE"/>
    <w:pPr>
      <w:tabs>
        <w:tab w:val="left" w:pos="360"/>
        <w:tab w:val="right" w:pos="8323"/>
      </w:tabs>
      <w:spacing w:before="240"/>
      <w:ind w:hanging="851"/>
    </w:pPr>
    <w:rPr>
      <w:b/>
    </w:rPr>
  </w:style>
  <w:style w:type="paragraph" w:styleId="Verzeichnis3">
    <w:name w:val="toc 3"/>
    <w:basedOn w:val="Standard"/>
    <w:next w:val="Standard"/>
    <w:autoRedefine/>
    <w:uiPriority w:val="39"/>
    <w:rsid w:val="006E1F14"/>
    <w:pPr>
      <w:ind w:hanging="851"/>
    </w:pPr>
  </w:style>
  <w:style w:type="character" w:styleId="Hyperlink">
    <w:name w:val="Hyperlink"/>
    <w:basedOn w:val="Absatz-Standardschriftart"/>
    <w:uiPriority w:val="99"/>
    <w:locked/>
    <w:rsid w:val="00546745"/>
    <w:rPr>
      <w:color w:val="000080"/>
      <w:u w:val="single"/>
    </w:rPr>
  </w:style>
  <w:style w:type="paragraph" w:styleId="Inhaltsverzeichnisberschrift">
    <w:name w:val="TOC Heading"/>
    <w:basedOn w:val="berschrift1"/>
    <w:next w:val="Standard"/>
    <w:uiPriority w:val="39"/>
    <w:semiHidden/>
    <w:unhideWhenUsed/>
    <w:qFormat/>
    <w:rsid w:val="00AD42C4"/>
    <w:pPr>
      <w:pageBreakBefore w:val="0"/>
      <w:numPr>
        <w:numId w:val="0"/>
      </w:numPr>
      <w:jc w:val="left"/>
      <w:outlineLvl w:val="9"/>
    </w:pPr>
    <w:rPr>
      <w:lang w:eastAsia="nl-NL"/>
    </w:rPr>
  </w:style>
  <w:style w:type="paragraph" w:customStyle="1" w:styleId="AppendixHeading1">
    <w:name w:val="Appendix Heading 1"/>
    <w:next w:val="Standard"/>
    <w:uiPriority w:val="13"/>
    <w:qFormat/>
    <w:rsid w:val="00E52CEE"/>
    <w:pPr>
      <w:pageBreakBefore/>
      <w:numPr>
        <w:numId w:val="3"/>
      </w:numPr>
      <w:spacing w:before="0" w:after="240"/>
      <w:ind w:left="0" w:hanging="851"/>
      <w:outlineLvl w:val="0"/>
    </w:pPr>
    <w:rPr>
      <w:b/>
      <w:color w:val="000080"/>
      <w:sz w:val="28"/>
    </w:rPr>
  </w:style>
  <w:style w:type="paragraph" w:customStyle="1" w:styleId="KopvanAppendices">
    <w:name w:val="Kop van Appendices"/>
    <w:basedOn w:val="Inhaltsverzeichnisberschrift"/>
    <w:semiHidden/>
    <w:locked/>
    <w:rsid w:val="009141CC"/>
    <w:pPr>
      <w:pageBreakBefore/>
    </w:pPr>
  </w:style>
  <w:style w:type="table" w:customStyle="1" w:styleId="SIRAStandaardtabel">
    <w:name w:val="SIRA Standaard tabel"/>
    <w:basedOn w:val="NormaleTabelle"/>
    <w:uiPriority w:val="99"/>
    <w:rsid w:val="008734E4"/>
    <w:pPr>
      <w:spacing w:before="40" w:after="0" w:line="240" w:lineRule="auto"/>
      <w:ind w:left="0"/>
    </w:pPr>
    <w:rPr>
      <w:sz w:val="16"/>
    </w:rPr>
    <w:tblPr>
      <w:tblInd w:w="5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A6A6A6" w:themeColor="background1" w:themeShade="A6"/>
        <w:insideV w:val="single" w:sz="4" w:space="0" w:color="A6A6A6" w:themeColor="background1" w:themeShade="A6"/>
      </w:tblBorders>
      <w:tblCellMar>
        <w:top w:w="28" w:type="dxa"/>
        <w:left w:w="57" w:type="dxa"/>
        <w:bottom w:w="28" w:type="dxa"/>
        <w:right w:w="57" w:type="dxa"/>
      </w:tblCellMar>
    </w:tblPr>
    <w:trPr>
      <w:cantSplit/>
    </w:trPr>
    <w:tcPr>
      <w:shd w:val="clear" w:color="auto" w:fill="FFFFFF" w:themeFill="background1"/>
    </w:tcPr>
    <w:tblStylePr w:type="firstRow">
      <w:rPr>
        <w:b/>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95B3D7" w:themeFill="accent1" w:themeFillTint="99"/>
      </w:tcPr>
    </w:tblStylePr>
  </w:style>
  <w:style w:type="paragraph" w:styleId="Beschriftung">
    <w:name w:val="caption"/>
    <w:aliases w:val="SIRA Titel tabel of figuur,SIRA Bijschrift"/>
    <w:basedOn w:val="Standard"/>
    <w:next w:val="Standard"/>
    <w:link w:val="BijschriftChar"/>
    <w:qFormat/>
    <w:rsid w:val="00A1451B"/>
    <w:pPr>
      <w:spacing w:line="240" w:lineRule="auto"/>
    </w:pPr>
    <w:rPr>
      <w:bCs/>
      <w:sz w:val="16"/>
    </w:rPr>
  </w:style>
  <w:style w:type="table" w:customStyle="1" w:styleId="SIRAKader">
    <w:name w:val="SIRA Kader"/>
    <w:basedOn w:val="NormaleTabelle"/>
    <w:uiPriority w:val="99"/>
    <w:rsid w:val="00842F06"/>
    <w:pPr>
      <w:spacing w:line="240" w:lineRule="atLeast"/>
      <w:ind w:left="0"/>
    </w:pPr>
    <w:rPr>
      <w:rFonts w:asciiTheme="minorHAnsi" w:hAnsiTheme="minorHAnsi"/>
      <w:sz w:val="16"/>
    </w:rPr>
    <w:tblPr>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top w:w="28" w:type="dxa"/>
        <w:left w:w="113" w:type="dxa"/>
        <w:right w:w="113" w:type="dxa"/>
      </w:tblCellMar>
    </w:tblPr>
    <w:tcPr>
      <w:shd w:val="clear" w:color="auto" w:fill="D9D9D9" w:themeFill="background1" w:themeFillShade="D9"/>
    </w:tcPr>
    <w:tblStylePr w:type="firstRow">
      <w:pPr>
        <w:wordWrap/>
        <w:spacing w:line="240" w:lineRule="atLeast"/>
      </w:pPr>
    </w:tblStylePr>
  </w:style>
  <w:style w:type="paragraph" w:customStyle="1" w:styleId="SIRAFiguur">
    <w:name w:val="SIRA Figuur"/>
    <w:basedOn w:val="Standard"/>
    <w:next w:val="Standard"/>
    <w:uiPriority w:val="11"/>
    <w:qFormat/>
    <w:rsid w:val="0092321E"/>
    <w:pPr>
      <w:pBdr>
        <w:top w:val="single" w:sz="4" w:space="9" w:color="auto"/>
        <w:bottom w:val="single" w:sz="4" w:space="9" w:color="auto"/>
      </w:pBdr>
    </w:pPr>
    <w:rPr>
      <w:lang w:eastAsia="nl-NL"/>
    </w:rPr>
  </w:style>
  <w:style w:type="paragraph" w:styleId="Index9">
    <w:name w:val="index 9"/>
    <w:basedOn w:val="Standard"/>
    <w:next w:val="Standard"/>
    <w:autoRedefine/>
    <w:uiPriority w:val="99"/>
    <w:semiHidden/>
    <w:unhideWhenUsed/>
    <w:rsid w:val="00916CA5"/>
    <w:pPr>
      <w:spacing w:before="0" w:after="0" w:line="240" w:lineRule="auto"/>
      <w:ind w:left="1620" w:hanging="180"/>
    </w:pPr>
  </w:style>
  <w:style w:type="paragraph" w:styleId="Index1">
    <w:name w:val="index 1"/>
    <w:basedOn w:val="Standard"/>
    <w:next w:val="Standard"/>
    <w:autoRedefine/>
    <w:uiPriority w:val="99"/>
    <w:semiHidden/>
    <w:unhideWhenUsed/>
    <w:rsid w:val="00916CA5"/>
    <w:pPr>
      <w:spacing w:before="0" w:after="0" w:line="240" w:lineRule="auto"/>
      <w:ind w:left="180" w:hanging="180"/>
    </w:pPr>
  </w:style>
  <w:style w:type="paragraph" w:customStyle="1" w:styleId="SIRABullets">
    <w:name w:val="SIRA Bullets"/>
    <w:basedOn w:val="Standard"/>
    <w:link w:val="SIRABulletsChar"/>
    <w:rsid w:val="0054138C"/>
    <w:pPr>
      <w:numPr>
        <w:numId w:val="5"/>
      </w:numPr>
    </w:pPr>
    <w:rPr>
      <w:rFonts w:ascii="Trebuchet MS" w:eastAsia="SimSun" w:hAnsi="Trebuchet MS" w:cs="Times New Roman"/>
      <w:szCs w:val="24"/>
      <w:lang w:val="en-US" w:eastAsia="zh-CN"/>
    </w:rPr>
  </w:style>
  <w:style w:type="paragraph" w:customStyle="1" w:styleId="SIRANummering">
    <w:name w:val="SIRA Nummering"/>
    <w:basedOn w:val="Standard"/>
    <w:link w:val="SIRANummeringChar"/>
    <w:uiPriority w:val="3"/>
    <w:qFormat/>
    <w:rsid w:val="0054138C"/>
    <w:pPr>
      <w:numPr>
        <w:numId w:val="6"/>
      </w:numPr>
    </w:pPr>
    <w:rPr>
      <w:rFonts w:ascii="Trebuchet MS" w:eastAsia="SimSun" w:hAnsi="Trebuchet MS" w:cs="Times New Roman"/>
      <w:color w:val="000000" w:themeColor="text1"/>
      <w:szCs w:val="24"/>
      <w:lang w:eastAsia="zh-CN"/>
    </w:rPr>
  </w:style>
  <w:style w:type="character" w:customStyle="1" w:styleId="SIRANummeringChar">
    <w:name w:val="SIRA Nummering Char"/>
    <w:basedOn w:val="Absatz-Standardschriftart"/>
    <w:link w:val="SIRANummering"/>
    <w:uiPriority w:val="3"/>
    <w:rsid w:val="009141CC"/>
    <w:rPr>
      <w:rFonts w:ascii="Trebuchet MS" w:eastAsia="SimSun" w:hAnsi="Trebuchet MS" w:cs="Times New Roman"/>
      <w:noProof/>
      <w:color w:val="000000" w:themeColor="text1"/>
      <w:szCs w:val="24"/>
      <w:lang w:eastAsia="zh-CN"/>
    </w:rPr>
  </w:style>
  <w:style w:type="character" w:customStyle="1" w:styleId="SIRABulletsChar">
    <w:name w:val="SIRA Bullets Char"/>
    <w:basedOn w:val="Absatz-Standardschriftart"/>
    <w:link w:val="SIRABullets"/>
    <w:rsid w:val="0054138C"/>
    <w:rPr>
      <w:rFonts w:ascii="Trebuchet MS" w:eastAsia="SimSun" w:hAnsi="Trebuchet MS" w:cs="Times New Roman"/>
      <w:noProof/>
      <w:szCs w:val="24"/>
      <w:lang w:val="en-US" w:eastAsia="zh-CN"/>
    </w:rPr>
  </w:style>
  <w:style w:type="paragraph" w:customStyle="1" w:styleId="SIRAopsomming">
    <w:name w:val="SIRA opsomming"/>
    <w:basedOn w:val="Listenabsatz"/>
    <w:link w:val="SIRAopsommingChar"/>
    <w:uiPriority w:val="3"/>
    <w:qFormat/>
    <w:rsid w:val="0036163F"/>
  </w:style>
  <w:style w:type="character" w:customStyle="1" w:styleId="SIRAopsommingChar">
    <w:name w:val="SIRA opsomming Char"/>
    <w:basedOn w:val="SIRABulletsChar"/>
    <w:link w:val="SIRAopsomming"/>
    <w:uiPriority w:val="3"/>
    <w:rsid w:val="009141CC"/>
    <w:rPr>
      <w:rFonts w:ascii="Trebuchet MS" w:eastAsia="SimSun" w:hAnsi="Trebuchet MS" w:cs="Times New Roman"/>
      <w:noProof/>
      <w:szCs w:val="24"/>
      <w:lang w:val="en-US" w:eastAsia="zh-CN"/>
    </w:rPr>
  </w:style>
  <w:style w:type="paragraph" w:styleId="Funotentext">
    <w:name w:val="footnote text"/>
    <w:basedOn w:val="Standard"/>
    <w:link w:val="VoetnoottekstChar"/>
    <w:uiPriority w:val="99"/>
    <w:semiHidden/>
    <w:unhideWhenUsed/>
    <w:rsid w:val="00324868"/>
    <w:pPr>
      <w:spacing w:before="0" w:after="0" w:line="200" w:lineRule="atLeast"/>
    </w:pPr>
    <w:rPr>
      <w:sz w:val="16"/>
      <w:szCs w:val="20"/>
    </w:rPr>
  </w:style>
  <w:style w:type="character" w:customStyle="1" w:styleId="VoetnoottekstChar">
    <w:name w:val="Voetnoottekst Char"/>
    <w:basedOn w:val="Absatz-Standardschriftart"/>
    <w:link w:val="Funotentext"/>
    <w:uiPriority w:val="99"/>
    <w:semiHidden/>
    <w:rsid w:val="00324868"/>
    <w:rPr>
      <w:noProof/>
      <w:sz w:val="16"/>
      <w:szCs w:val="20"/>
    </w:rPr>
  </w:style>
  <w:style w:type="character" w:styleId="Funotenzeichen">
    <w:name w:val="footnote reference"/>
    <w:basedOn w:val="Absatz-Standardschriftart"/>
    <w:semiHidden/>
    <w:unhideWhenUsed/>
    <w:rsid w:val="00605FEC"/>
    <w:rPr>
      <w:vertAlign w:val="superscript"/>
    </w:rPr>
  </w:style>
  <w:style w:type="paragraph" w:styleId="Endnotentext">
    <w:name w:val="endnote text"/>
    <w:basedOn w:val="Standard"/>
    <w:link w:val="EindnoottekstChar"/>
    <w:uiPriority w:val="99"/>
    <w:semiHidden/>
    <w:unhideWhenUsed/>
    <w:rsid w:val="00B52845"/>
    <w:pPr>
      <w:spacing w:before="0" w:after="0" w:line="240" w:lineRule="auto"/>
    </w:pPr>
    <w:rPr>
      <w:sz w:val="20"/>
      <w:szCs w:val="20"/>
    </w:rPr>
  </w:style>
  <w:style w:type="character" w:customStyle="1" w:styleId="EindnoottekstChar">
    <w:name w:val="Eindnoottekst Char"/>
    <w:basedOn w:val="Absatz-Standardschriftart"/>
    <w:link w:val="Endnotentext"/>
    <w:uiPriority w:val="99"/>
    <w:semiHidden/>
    <w:rsid w:val="00B52845"/>
    <w:rPr>
      <w:noProof/>
      <w:sz w:val="20"/>
      <w:szCs w:val="20"/>
    </w:rPr>
  </w:style>
  <w:style w:type="character" w:styleId="Endnotenzeichen">
    <w:name w:val="endnote reference"/>
    <w:basedOn w:val="Absatz-Standardschriftart"/>
    <w:uiPriority w:val="99"/>
    <w:semiHidden/>
    <w:unhideWhenUsed/>
    <w:rsid w:val="00B52845"/>
    <w:rPr>
      <w:vertAlign w:val="superscript"/>
    </w:rPr>
  </w:style>
  <w:style w:type="paragraph" w:styleId="Listenabsatz">
    <w:name w:val="List Paragraph"/>
    <w:basedOn w:val="SIRABullets"/>
    <w:uiPriority w:val="34"/>
    <w:qFormat/>
    <w:locked/>
    <w:rsid w:val="00B52845"/>
    <w:rPr>
      <w:lang w:val="nl-NL"/>
    </w:rPr>
  </w:style>
  <w:style w:type="numbering" w:customStyle="1" w:styleId="SIRANumberedlist">
    <w:name w:val="SIRA Numbered list"/>
    <w:uiPriority w:val="99"/>
    <w:rsid w:val="0036163F"/>
    <w:pPr>
      <w:numPr>
        <w:numId w:val="10"/>
      </w:numPr>
    </w:pPr>
  </w:style>
  <w:style w:type="paragraph" w:customStyle="1" w:styleId="SIRAStandaardtekst">
    <w:name w:val="SIRA Standaard tekst"/>
    <w:basedOn w:val="Standard"/>
    <w:link w:val="SIRAStandaardtekstChar"/>
    <w:rsid w:val="00ED04E6"/>
    <w:rPr>
      <w:rFonts w:ascii="Trebuchet MS" w:eastAsia="Times New Roman" w:hAnsi="Trebuchet MS" w:cs="Times New Roman"/>
      <w:szCs w:val="24"/>
      <w:lang w:eastAsia="nl-NL"/>
    </w:rPr>
  </w:style>
  <w:style w:type="character" w:customStyle="1" w:styleId="SIRAStandaardtekstChar">
    <w:name w:val="SIRA Standaard tekst Char"/>
    <w:link w:val="SIRAStandaardtekst"/>
    <w:rsid w:val="00ED04E6"/>
    <w:rPr>
      <w:rFonts w:ascii="Trebuchet MS" w:eastAsia="Times New Roman" w:hAnsi="Trebuchet MS" w:cs="Times New Roman"/>
      <w:szCs w:val="24"/>
      <w:lang w:eastAsia="nl-NL"/>
    </w:rPr>
  </w:style>
  <w:style w:type="paragraph" w:customStyle="1" w:styleId="Appendix">
    <w:name w:val="Appendix"/>
    <w:basedOn w:val="berschrift1"/>
    <w:next w:val="Standard"/>
    <w:uiPriority w:val="99"/>
    <w:rsid w:val="007A0B0D"/>
    <w:pPr>
      <w:keepLines w:val="0"/>
      <w:numPr>
        <w:numId w:val="14"/>
      </w:numPr>
      <w:overflowPunct w:val="0"/>
      <w:autoSpaceDE w:val="0"/>
      <w:autoSpaceDN w:val="0"/>
      <w:adjustRightInd w:val="0"/>
      <w:spacing w:before="60" w:after="60" w:line="240" w:lineRule="auto"/>
      <w:ind w:left="-1134"/>
      <w:textAlignment w:val="baseline"/>
      <w:outlineLvl w:val="9"/>
    </w:pPr>
    <w:rPr>
      <w:rFonts w:ascii="Trebuchet MS" w:eastAsia="Times New Roman" w:hAnsi="Trebuchet MS" w:cs="Times New Roman"/>
      <w:bCs w:val="0"/>
      <w:kern w:val="28"/>
      <w:szCs w:val="20"/>
    </w:rPr>
  </w:style>
  <w:style w:type="character" w:customStyle="1" w:styleId="BijschriftChar">
    <w:name w:val="Bijschrift Char"/>
    <w:aliases w:val="SIRA Titel tabel of figuur Char,SIRA Bijschrift Char"/>
    <w:link w:val="Beschriftung"/>
    <w:rsid w:val="007A0B0D"/>
    <w:rPr>
      <w:bCs/>
      <w:sz w:val="16"/>
    </w:rPr>
  </w:style>
  <w:style w:type="numbering" w:customStyle="1" w:styleId="Bulletsniveau1">
    <w:name w:val="Bullets niveau 1"/>
    <w:rsid w:val="007A0B0D"/>
    <w:pPr>
      <w:numPr>
        <w:numId w:val="15"/>
      </w:numPr>
    </w:pPr>
  </w:style>
  <w:style w:type="paragraph" w:customStyle="1" w:styleId="Bulletniveau1">
    <w:name w:val="Bullet niveau 1"/>
    <w:basedOn w:val="Standard"/>
    <w:link w:val="Bulletniveau1Char"/>
    <w:rsid w:val="007A0B0D"/>
    <w:pPr>
      <w:overflowPunct w:val="0"/>
      <w:autoSpaceDE w:val="0"/>
      <w:autoSpaceDN w:val="0"/>
      <w:adjustRightInd w:val="0"/>
      <w:spacing w:before="0" w:after="80" w:line="240" w:lineRule="auto"/>
      <w:textAlignment w:val="baseline"/>
    </w:pPr>
    <w:rPr>
      <w:rFonts w:ascii="Trebuchet MS" w:eastAsia="Times New Roman" w:hAnsi="Trebuchet MS" w:cs="Times New Roman"/>
      <w:kern w:val="24"/>
      <w:szCs w:val="20"/>
    </w:rPr>
  </w:style>
  <w:style w:type="character" w:customStyle="1" w:styleId="Bulletniveau1Char">
    <w:name w:val="Bullet niveau 1 Char"/>
    <w:basedOn w:val="Absatz-Standardschriftart"/>
    <w:link w:val="Bulletniveau1"/>
    <w:rsid w:val="007A0B0D"/>
    <w:rPr>
      <w:rFonts w:ascii="Trebuchet MS" w:eastAsia="Times New Roman" w:hAnsi="Trebuchet MS" w:cs="Times New Roman"/>
      <w:kern w:val="24"/>
      <w:szCs w:val="20"/>
    </w:rPr>
  </w:style>
  <w:style w:type="paragraph" w:customStyle="1" w:styleId="Kop4-genummerd">
    <w:name w:val="Kop 4 - genummerd"/>
    <w:basedOn w:val="berschrift4"/>
    <w:link w:val="Kop4-genummerdChar"/>
    <w:qFormat/>
    <w:rsid w:val="001A0D0E"/>
    <w:pPr>
      <w:numPr>
        <w:numId w:val="16"/>
      </w:numPr>
      <w:ind w:left="567" w:hanging="567"/>
    </w:pPr>
  </w:style>
  <w:style w:type="character" w:styleId="Kommentarzeichen">
    <w:name w:val="annotation reference"/>
    <w:basedOn w:val="Absatz-Standardschriftart"/>
    <w:uiPriority w:val="99"/>
    <w:semiHidden/>
    <w:unhideWhenUsed/>
    <w:rsid w:val="001A0D0E"/>
    <w:rPr>
      <w:sz w:val="16"/>
      <w:szCs w:val="16"/>
    </w:rPr>
  </w:style>
  <w:style w:type="character" w:customStyle="1" w:styleId="Kop4-genummerdChar">
    <w:name w:val="Kop 4 - genummerd Char"/>
    <w:basedOn w:val="Kop4Char"/>
    <w:link w:val="Kop4-genummerd"/>
    <w:rsid w:val="001A0D0E"/>
    <w:rPr>
      <w:rFonts w:eastAsiaTheme="majorEastAsia" w:cstheme="majorBidi"/>
      <w:b/>
      <w:bCs/>
      <w:iCs/>
      <w:noProof/>
      <w:color w:val="000080"/>
    </w:rPr>
  </w:style>
  <w:style w:type="paragraph" w:styleId="Kommentartext">
    <w:name w:val="annotation text"/>
    <w:basedOn w:val="Standard"/>
    <w:link w:val="TekstopmerkingChar"/>
    <w:uiPriority w:val="99"/>
    <w:semiHidden/>
    <w:unhideWhenUsed/>
    <w:rsid w:val="001A0D0E"/>
    <w:pPr>
      <w:spacing w:line="240" w:lineRule="auto"/>
    </w:pPr>
    <w:rPr>
      <w:sz w:val="20"/>
      <w:szCs w:val="20"/>
    </w:rPr>
  </w:style>
  <w:style w:type="character" w:customStyle="1" w:styleId="TekstopmerkingChar">
    <w:name w:val="Tekst opmerking Char"/>
    <w:basedOn w:val="Absatz-Standardschriftart"/>
    <w:link w:val="Kommentartext"/>
    <w:uiPriority w:val="99"/>
    <w:semiHidden/>
    <w:rsid w:val="001A0D0E"/>
    <w:rPr>
      <w:sz w:val="20"/>
      <w:szCs w:val="20"/>
    </w:rPr>
  </w:style>
  <w:style w:type="paragraph" w:styleId="Kommentarthema">
    <w:name w:val="annotation subject"/>
    <w:basedOn w:val="Kommentartext"/>
    <w:next w:val="Kommentartext"/>
    <w:link w:val="OnderwerpvanopmerkingChar"/>
    <w:uiPriority w:val="99"/>
    <w:semiHidden/>
    <w:unhideWhenUsed/>
    <w:rsid w:val="001A0D0E"/>
    <w:rPr>
      <w:b/>
      <w:bCs/>
    </w:rPr>
  </w:style>
  <w:style w:type="character" w:customStyle="1" w:styleId="OnderwerpvanopmerkingChar">
    <w:name w:val="Onderwerp van opmerking Char"/>
    <w:basedOn w:val="TekstopmerkingChar"/>
    <w:link w:val="Kommentarthema"/>
    <w:uiPriority w:val="99"/>
    <w:semiHidden/>
    <w:rsid w:val="001A0D0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18"/>
        <w:szCs w:val="18"/>
        <w:lang w:val="nl-NL" w:eastAsia="en-US" w:bidi="ar-SA"/>
      </w:rPr>
    </w:rPrDefault>
    <w:pPrDefault>
      <w:pPr>
        <w:spacing w:before="60" w:after="60" w:line="260" w:lineRule="atLeast"/>
        <w:ind w:left="-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footnote reference" w:uiPriority="0"/>
    <w:lsdException w:name="Title" w:locked="1" w:semiHidden="0" w:uiPriority="10" w:unhideWhenUsed="0" w:qFormat="1"/>
    <w:lsdException w:name="Default Paragraph Font" w:uiPriority="1"/>
    <w:lsdException w:name="Subtitle" w:locked="1" w:semiHidden="0" w:uiPriority="11" w:unhideWhenUsed="0" w:qFormat="1"/>
    <w:lsdException w:name="Hyperlink" w:locked="1"/>
    <w:lsdException w:name="Strong" w:locked="1" w:uiPriority="22" w:unhideWhenUsed="0" w:qFormat="1"/>
    <w:lsdException w:name="Emphasis" w:locked="1" w:uiPriority="20" w:unhideWhenUsed="0" w:qFormat="1"/>
    <w:lsdException w:name="HTML Acronym" w:locked="1"/>
    <w:lsdException w:name="HTML Cite" w:locked="1"/>
    <w:lsdException w:name="HTML Code" w:locked="1"/>
    <w:lsdException w:name="HTML Definition" w:locked="1"/>
    <w:lsdException w:name="HTML Keyboard" w:locked="1"/>
    <w:lsdException w:name="HTML Sample" w:locked="1"/>
    <w:lsdException w:name="HTML Typewriter" w:locked="1"/>
    <w:lsdException w:name="HTML Variable" w:locked="1"/>
    <w:lsdException w:name="Table Web 1" w:locked="1"/>
    <w:lsdException w:name="Table Web 2" w:locked="1"/>
    <w:lsdException w:name="Table Web 3" w:locked="1"/>
    <w:lsdException w:name="Table Grid" w:locked="1" w:semiHidden="0" w:uiPriority="0" w:unhideWhenUsed="0"/>
    <w:lsdException w:name="Placeholder Text" w:unhideWhenUsed="0"/>
    <w:lsdException w:name="No Spacing" w:locked="1" w:semiHidden="0" w:uiPriority="1" w:unhideWhenUsed="0"/>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uiPriority="29" w:unhideWhenUsed="0" w:qFormat="1"/>
    <w:lsdException w:name="Intense Quote" w:locked="1"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iPriority="19" w:unhideWhenUsed="0"/>
    <w:lsdException w:name="Intense Emphasis" w:locked="1" w:uiPriority="21" w:unhideWhenUsed="0" w:qFormat="1"/>
    <w:lsdException w:name="Subtle Reference" w:locked="1" w:uiPriority="31" w:unhideWhenUsed="0" w:qFormat="1"/>
    <w:lsdException w:name="Intense Reference" w:locked="1" w:uiPriority="32" w:unhideWhenUsed="0" w:qFormat="1"/>
    <w:lsdException w:name="Book Title" w:locked="1" w:uiPriority="33" w:unhideWhenUsed="0" w:qFormat="1"/>
    <w:lsdException w:name="Bibliography" w:uiPriority="37"/>
    <w:lsdException w:name="TOC Heading" w:uiPriority="39" w:qFormat="1"/>
  </w:latentStyles>
  <w:style w:type="paragraph" w:default="1" w:styleId="Standard">
    <w:name w:val="Normal"/>
    <w:qFormat/>
    <w:rsid w:val="00A1451B"/>
    <w:pPr>
      <w:ind w:left="0"/>
      <w:jc w:val="both"/>
    </w:pPr>
  </w:style>
  <w:style w:type="paragraph" w:styleId="berschrift1">
    <w:name w:val="heading 1"/>
    <w:basedOn w:val="Standard"/>
    <w:next w:val="Standard"/>
    <w:link w:val="Kop1Char"/>
    <w:uiPriority w:val="1"/>
    <w:qFormat/>
    <w:rsid w:val="00E9008B"/>
    <w:pPr>
      <w:keepNext/>
      <w:keepLines/>
      <w:pageBreakBefore/>
      <w:numPr>
        <w:numId w:val="2"/>
      </w:numPr>
      <w:spacing w:before="0" w:after="240"/>
      <w:ind w:left="0" w:hanging="851"/>
      <w:outlineLvl w:val="0"/>
    </w:pPr>
    <w:rPr>
      <w:rFonts w:eastAsiaTheme="majorEastAsia" w:cstheme="majorBidi"/>
      <w:b/>
      <w:bCs/>
      <w:color w:val="000080"/>
      <w:sz w:val="28"/>
      <w:szCs w:val="28"/>
    </w:rPr>
  </w:style>
  <w:style w:type="paragraph" w:styleId="berschrift2">
    <w:name w:val="heading 2"/>
    <w:basedOn w:val="Standard"/>
    <w:next w:val="Standard"/>
    <w:link w:val="Kop2Char"/>
    <w:uiPriority w:val="1"/>
    <w:qFormat/>
    <w:rsid w:val="00142F21"/>
    <w:pPr>
      <w:keepNext/>
      <w:keepLines/>
      <w:numPr>
        <w:ilvl w:val="1"/>
        <w:numId w:val="2"/>
      </w:numPr>
      <w:spacing w:before="240"/>
      <w:ind w:left="0" w:hanging="851"/>
      <w:outlineLvl w:val="1"/>
    </w:pPr>
    <w:rPr>
      <w:rFonts w:eastAsiaTheme="majorEastAsia" w:cstheme="majorBidi"/>
      <w:b/>
      <w:bCs/>
      <w:color w:val="000080"/>
      <w:sz w:val="24"/>
      <w:szCs w:val="26"/>
    </w:rPr>
  </w:style>
  <w:style w:type="paragraph" w:styleId="berschrift3">
    <w:name w:val="heading 3"/>
    <w:basedOn w:val="Standard"/>
    <w:next w:val="Standard"/>
    <w:link w:val="Kop3Char"/>
    <w:uiPriority w:val="1"/>
    <w:qFormat/>
    <w:rsid w:val="00142F21"/>
    <w:pPr>
      <w:keepNext/>
      <w:keepLines/>
      <w:numPr>
        <w:ilvl w:val="2"/>
        <w:numId w:val="2"/>
      </w:numPr>
      <w:spacing w:before="180"/>
      <w:ind w:left="0" w:hanging="851"/>
      <w:outlineLvl w:val="2"/>
    </w:pPr>
    <w:rPr>
      <w:rFonts w:eastAsiaTheme="majorEastAsia" w:cstheme="majorBidi"/>
      <w:b/>
      <w:bCs/>
      <w:color w:val="000080"/>
    </w:rPr>
  </w:style>
  <w:style w:type="paragraph" w:styleId="berschrift4">
    <w:name w:val="heading 4"/>
    <w:basedOn w:val="Standard"/>
    <w:next w:val="Standard"/>
    <w:link w:val="Kop4Char"/>
    <w:uiPriority w:val="1"/>
    <w:qFormat/>
    <w:rsid w:val="00142F21"/>
    <w:pPr>
      <w:keepNext/>
      <w:keepLines/>
      <w:spacing w:before="200" w:after="0"/>
      <w:outlineLvl w:val="3"/>
    </w:pPr>
    <w:rPr>
      <w:rFonts w:eastAsiaTheme="majorEastAsia" w:cstheme="majorBidi"/>
      <w:b/>
      <w:bCs/>
      <w:iCs/>
      <w:color w:val="000080"/>
    </w:rPr>
  </w:style>
  <w:style w:type="paragraph" w:styleId="berschrift5">
    <w:name w:val="heading 5"/>
    <w:basedOn w:val="Standard"/>
    <w:next w:val="Standard"/>
    <w:link w:val="Kop5Char"/>
    <w:uiPriority w:val="1"/>
    <w:semiHidden/>
    <w:locked/>
    <w:rsid w:val="00D47ACB"/>
    <w:pPr>
      <w:keepNext/>
      <w:keepLines/>
      <w:numPr>
        <w:ilvl w:val="4"/>
        <w:numId w:val="2"/>
      </w:numPr>
      <w:spacing w:before="200" w:after="0"/>
      <w:outlineLvl w:val="4"/>
    </w:pPr>
    <w:rPr>
      <w:rFonts w:eastAsiaTheme="majorEastAsia" w:cstheme="majorBidi"/>
      <w:color w:val="243F60" w:themeColor="accent1" w:themeShade="7F"/>
    </w:rPr>
  </w:style>
  <w:style w:type="paragraph" w:styleId="berschrift6">
    <w:name w:val="heading 6"/>
    <w:basedOn w:val="Standard"/>
    <w:next w:val="Standard"/>
    <w:link w:val="Kop6Char"/>
    <w:uiPriority w:val="9"/>
    <w:semiHidden/>
    <w:unhideWhenUsed/>
    <w:qFormat/>
    <w:locked/>
    <w:rsid w:val="00D47ACB"/>
    <w:pPr>
      <w:keepNext/>
      <w:keepLines/>
      <w:numPr>
        <w:ilvl w:val="5"/>
        <w:numId w:val="2"/>
      </w:numPr>
      <w:spacing w:before="200" w:after="0"/>
      <w:outlineLvl w:val="5"/>
    </w:pPr>
    <w:rPr>
      <w:rFonts w:eastAsiaTheme="majorEastAsia" w:cstheme="majorBidi"/>
      <w:i/>
      <w:iCs/>
      <w:color w:val="243F60" w:themeColor="accent1" w:themeShade="7F"/>
    </w:rPr>
  </w:style>
  <w:style w:type="paragraph" w:styleId="berschrift7">
    <w:name w:val="heading 7"/>
    <w:basedOn w:val="Standard"/>
    <w:next w:val="Standard"/>
    <w:link w:val="Kop7Char"/>
    <w:uiPriority w:val="9"/>
    <w:semiHidden/>
    <w:unhideWhenUsed/>
    <w:qFormat/>
    <w:locked/>
    <w:rsid w:val="00D47ACB"/>
    <w:pPr>
      <w:keepNext/>
      <w:keepLines/>
      <w:numPr>
        <w:ilvl w:val="6"/>
        <w:numId w:val="2"/>
      </w:numPr>
      <w:spacing w:before="200" w:after="0"/>
      <w:outlineLvl w:val="6"/>
    </w:pPr>
    <w:rPr>
      <w:rFonts w:eastAsiaTheme="majorEastAsia" w:cstheme="majorBidi"/>
      <w:i/>
      <w:iCs/>
      <w:color w:val="404040" w:themeColor="text1" w:themeTint="BF"/>
    </w:rPr>
  </w:style>
  <w:style w:type="paragraph" w:styleId="berschrift8">
    <w:name w:val="heading 8"/>
    <w:basedOn w:val="Standard"/>
    <w:next w:val="Standard"/>
    <w:link w:val="Kop8Char"/>
    <w:uiPriority w:val="9"/>
    <w:semiHidden/>
    <w:unhideWhenUsed/>
    <w:qFormat/>
    <w:locked/>
    <w:rsid w:val="00D47ACB"/>
    <w:pPr>
      <w:keepNext/>
      <w:keepLines/>
      <w:numPr>
        <w:ilvl w:val="7"/>
        <w:numId w:val="2"/>
      </w:numPr>
      <w:spacing w:before="200" w:after="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Kop9Char"/>
    <w:uiPriority w:val="9"/>
    <w:semiHidden/>
    <w:unhideWhenUsed/>
    <w:qFormat/>
    <w:locked/>
    <w:rsid w:val="00D47ACB"/>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ondertitel">
    <w:name w:val="Titel (ondertitel)"/>
    <w:basedOn w:val="Standard"/>
    <w:locked/>
    <w:rsid w:val="00AE6769"/>
    <w:pPr>
      <w:overflowPunct w:val="0"/>
      <w:autoSpaceDE w:val="0"/>
      <w:autoSpaceDN w:val="0"/>
      <w:adjustRightInd w:val="0"/>
      <w:spacing w:before="0" w:after="0"/>
      <w:jc w:val="center"/>
      <w:textAlignment w:val="baseline"/>
    </w:pPr>
    <w:rPr>
      <w:rFonts w:ascii="Trebuchet MS" w:eastAsia="Times New Roman" w:hAnsi="Trebuchet MS" w:cs="Times New Roman"/>
      <w:b/>
      <w:color w:val="333399"/>
      <w:kern w:val="24"/>
      <w:sz w:val="24"/>
      <w:szCs w:val="20"/>
    </w:rPr>
  </w:style>
  <w:style w:type="paragraph" w:styleId="Titel">
    <w:name w:val="Title"/>
    <w:basedOn w:val="Standard"/>
    <w:next w:val="Standard"/>
    <w:link w:val="TitelChar"/>
    <w:uiPriority w:val="10"/>
    <w:qFormat/>
    <w:locked/>
    <w:rsid w:val="0054138C"/>
    <w:pPr>
      <w:overflowPunct w:val="0"/>
      <w:autoSpaceDE w:val="0"/>
      <w:autoSpaceDN w:val="0"/>
      <w:adjustRightInd w:val="0"/>
      <w:spacing w:before="0" w:after="0"/>
      <w:jc w:val="center"/>
      <w:textAlignment w:val="baseline"/>
    </w:pPr>
    <w:rPr>
      <w:rFonts w:ascii="Trebuchet MS" w:eastAsia="Times New Roman" w:hAnsi="Trebuchet MS" w:cs="Times New Roman"/>
      <w:b/>
      <w:color w:val="333399"/>
      <w:kern w:val="24"/>
      <w:sz w:val="36"/>
      <w:szCs w:val="20"/>
    </w:rPr>
  </w:style>
  <w:style w:type="character" w:customStyle="1" w:styleId="TitelChar">
    <w:name w:val="Titel Char"/>
    <w:basedOn w:val="Absatz-Standardschriftart"/>
    <w:link w:val="Titel"/>
    <w:uiPriority w:val="10"/>
    <w:rsid w:val="009141CC"/>
    <w:rPr>
      <w:rFonts w:ascii="Trebuchet MS" w:eastAsia="Times New Roman" w:hAnsi="Trebuchet MS" w:cs="Times New Roman"/>
      <w:b/>
      <w:noProof/>
      <w:color w:val="333399"/>
      <w:kern w:val="24"/>
      <w:sz w:val="36"/>
      <w:szCs w:val="20"/>
    </w:rPr>
  </w:style>
  <w:style w:type="paragraph" w:styleId="Untertitel">
    <w:name w:val="Subtitle"/>
    <w:basedOn w:val="Titelondertitel"/>
    <w:next w:val="Standard"/>
    <w:link w:val="OndertitelChar"/>
    <w:uiPriority w:val="11"/>
    <w:semiHidden/>
    <w:qFormat/>
    <w:locked/>
    <w:rsid w:val="00AE6769"/>
  </w:style>
  <w:style w:type="character" w:customStyle="1" w:styleId="OndertitelChar">
    <w:name w:val="Ondertitel Char"/>
    <w:basedOn w:val="Absatz-Standardschriftart"/>
    <w:link w:val="Untertitel"/>
    <w:uiPriority w:val="11"/>
    <w:semiHidden/>
    <w:rsid w:val="009141CC"/>
    <w:rPr>
      <w:rFonts w:ascii="Trebuchet MS" w:eastAsia="Times New Roman" w:hAnsi="Trebuchet MS" w:cs="Times New Roman"/>
      <w:b/>
      <w:noProof/>
      <w:color w:val="333399"/>
      <w:kern w:val="24"/>
      <w:sz w:val="24"/>
      <w:szCs w:val="20"/>
    </w:rPr>
  </w:style>
  <w:style w:type="paragraph" w:styleId="Kopfzeile">
    <w:name w:val="header"/>
    <w:basedOn w:val="Standard"/>
    <w:link w:val="KoptekstChar"/>
    <w:rsid w:val="00476DEF"/>
    <w:pPr>
      <w:tabs>
        <w:tab w:val="center" w:pos="4536"/>
        <w:tab w:val="right" w:pos="9072"/>
      </w:tabs>
      <w:spacing w:before="0" w:after="0" w:line="240" w:lineRule="atLeast"/>
    </w:pPr>
    <w:rPr>
      <w:rFonts w:ascii="Trebuchet MS" w:hAnsi="Trebuchet MS"/>
      <w:sz w:val="14"/>
    </w:rPr>
  </w:style>
  <w:style w:type="character" w:customStyle="1" w:styleId="KoptekstChar">
    <w:name w:val="Koptekst Char"/>
    <w:basedOn w:val="Absatz-Standardschriftart"/>
    <w:link w:val="Kopfzeile"/>
    <w:rsid w:val="00842F06"/>
    <w:rPr>
      <w:rFonts w:ascii="Trebuchet MS" w:hAnsi="Trebuchet MS"/>
      <w:noProof/>
      <w:sz w:val="14"/>
    </w:rPr>
  </w:style>
  <w:style w:type="paragraph" w:styleId="Fuzeile">
    <w:name w:val="footer"/>
    <w:basedOn w:val="Standard"/>
    <w:link w:val="VoettekstChar"/>
    <w:uiPriority w:val="99"/>
    <w:rsid w:val="00AF6C5B"/>
    <w:pPr>
      <w:tabs>
        <w:tab w:val="center" w:pos="4536"/>
        <w:tab w:val="right" w:pos="9072"/>
      </w:tabs>
      <w:spacing w:before="0" w:after="0" w:line="240" w:lineRule="atLeast"/>
    </w:pPr>
    <w:rPr>
      <w:rFonts w:ascii="Trebuchet MS" w:hAnsi="Trebuchet MS"/>
      <w:sz w:val="14"/>
    </w:rPr>
  </w:style>
  <w:style w:type="character" w:customStyle="1" w:styleId="VoettekstChar">
    <w:name w:val="Voettekst Char"/>
    <w:basedOn w:val="Absatz-Standardschriftart"/>
    <w:link w:val="Fuzeile"/>
    <w:uiPriority w:val="99"/>
    <w:rsid w:val="00842F06"/>
    <w:rPr>
      <w:rFonts w:ascii="Trebuchet MS" w:hAnsi="Trebuchet MS"/>
      <w:noProof/>
      <w:sz w:val="14"/>
    </w:rPr>
  </w:style>
  <w:style w:type="table" w:styleId="Tabellenraster">
    <w:name w:val="Table Grid"/>
    <w:aliases w:val="SIRA Koptabel"/>
    <w:basedOn w:val="NormaleTabelle"/>
    <w:locked/>
    <w:rsid w:val="0051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locked/>
    <w:rsid w:val="005105C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IRAKop-envoettabellen">
    <w:name w:val="SIRA Kop- en voettabellen"/>
    <w:basedOn w:val="NormaleTabelle"/>
    <w:uiPriority w:val="99"/>
    <w:locked/>
    <w:rsid w:val="00A6566D"/>
    <w:pPr>
      <w:spacing w:after="0" w:line="240" w:lineRule="atLeast"/>
    </w:pPr>
    <w:rPr>
      <w:sz w:val="14"/>
    </w:rPr>
    <w:tblPr>
      <w:tblInd w:w="-851" w:type="dxa"/>
      <w:tblCellMar>
        <w:left w:w="0" w:type="dxa"/>
        <w:right w:w="0" w:type="dxa"/>
      </w:tblCellMar>
    </w:tblPr>
  </w:style>
  <w:style w:type="paragraph" w:styleId="Sprechblasentext">
    <w:name w:val="Balloon Text"/>
    <w:basedOn w:val="Standard"/>
    <w:link w:val="BallontekstChar"/>
    <w:uiPriority w:val="99"/>
    <w:semiHidden/>
    <w:unhideWhenUsed/>
    <w:rsid w:val="00AF6C5B"/>
    <w:pPr>
      <w:spacing w:before="0" w:after="0" w:line="240" w:lineRule="auto"/>
    </w:pPr>
    <w:rPr>
      <w:rFonts w:ascii="Tahoma" w:hAnsi="Tahoma" w:cs="Tahoma"/>
      <w:sz w:val="16"/>
      <w:szCs w:val="16"/>
    </w:rPr>
  </w:style>
  <w:style w:type="character" w:customStyle="1" w:styleId="BallontekstChar">
    <w:name w:val="Ballontekst Char"/>
    <w:basedOn w:val="Absatz-Standardschriftart"/>
    <w:link w:val="Sprechblasentext"/>
    <w:uiPriority w:val="99"/>
    <w:semiHidden/>
    <w:rsid w:val="00AF6C5B"/>
    <w:rPr>
      <w:rFonts w:ascii="Tahoma" w:hAnsi="Tahoma" w:cs="Tahoma"/>
      <w:sz w:val="16"/>
      <w:szCs w:val="16"/>
      <w:lang w:val="en-IE"/>
    </w:rPr>
  </w:style>
  <w:style w:type="table" w:customStyle="1" w:styleId="SIRA-Voorpaginatabel">
    <w:name w:val="SIRA - Voorpaginatabel"/>
    <w:basedOn w:val="NormaleTabelle"/>
    <w:uiPriority w:val="99"/>
    <w:locked/>
    <w:rsid w:val="00476DEF"/>
    <w:pPr>
      <w:spacing w:after="0"/>
      <w:ind w:left="0"/>
    </w:pPr>
    <w:tblPr>
      <w:tblCellMar>
        <w:left w:w="0" w:type="dxa"/>
        <w:right w:w="0" w:type="dxa"/>
      </w:tblCellMar>
    </w:tblPr>
  </w:style>
  <w:style w:type="character" w:customStyle="1" w:styleId="Kop1Char">
    <w:name w:val="Kop 1 Char"/>
    <w:basedOn w:val="Absatz-Standardschriftart"/>
    <w:link w:val="berschrift1"/>
    <w:uiPriority w:val="1"/>
    <w:rsid w:val="009141CC"/>
    <w:rPr>
      <w:rFonts w:eastAsiaTheme="majorEastAsia" w:cstheme="majorBidi"/>
      <w:b/>
      <w:bCs/>
      <w:noProof/>
      <w:color w:val="000080"/>
      <w:sz w:val="28"/>
      <w:szCs w:val="28"/>
    </w:rPr>
  </w:style>
  <w:style w:type="character" w:customStyle="1" w:styleId="Kop2Char">
    <w:name w:val="Kop 2 Char"/>
    <w:basedOn w:val="Absatz-Standardschriftart"/>
    <w:link w:val="berschrift2"/>
    <w:uiPriority w:val="1"/>
    <w:rsid w:val="009141CC"/>
    <w:rPr>
      <w:rFonts w:eastAsiaTheme="majorEastAsia" w:cstheme="majorBidi"/>
      <w:b/>
      <w:bCs/>
      <w:noProof/>
      <w:color w:val="000080"/>
      <w:sz w:val="24"/>
      <w:szCs w:val="26"/>
    </w:rPr>
  </w:style>
  <w:style w:type="character" w:customStyle="1" w:styleId="Kop3Char">
    <w:name w:val="Kop 3 Char"/>
    <w:basedOn w:val="Absatz-Standardschriftart"/>
    <w:link w:val="berschrift3"/>
    <w:uiPriority w:val="1"/>
    <w:rsid w:val="009141CC"/>
    <w:rPr>
      <w:rFonts w:eastAsiaTheme="majorEastAsia" w:cstheme="majorBidi"/>
      <w:b/>
      <w:bCs/>
      <w:noProof/>
      <w:color w:val="000080"/>
    </w:rPr>
  </w:style>
  <w:style w:type="character" w:customStyle="1" w:styleId="Kop4Char">
    <w:name w:val="Kop 4 Char"/>
    <w:basedOn w:val="Absatz-Standardschriftart"/>
    <w:link w:val="berschrift4"/>
    <w:uiPriority w:val="1"/>
    <w:rsid w:val="009141CC"/>
    <w:rPr>
      <w:rFonts w:eastAsiaTheme="majorEastAsia" w:cstheme="majorBidi"/>
      <w:b/>
      <w:bCs/>
      <w:iCs/>
      <w:noProof/>
      <w:color w:val="000080"/>
    </w:rPr>
  </w:style>
  <w:style w:type="character" w:customStyle="1" w:styleId="Kop5Char">
    <w:name w:val="Kop 5 Char"/>
    <w:basedOn w:val="Absatz-Standardschriftart"/>
    <w:link w:val="berschrift5"/>
    <w:uiPriority w:val="1"/>
    <w:semiHidden/>
    <w:rsid w:val="009141CC"/>
    <w:rPr>
      <w:rFonts w:eastAsiaTheme="majorEastAsia" w:cstheme="majorBidi"/>
      <w:noProof/>
      <w:color w:val="243F60" w:themeColor="accent1" w:themeShade="7F"/>
    </w:rPr>
  </w:style>
  <w:style w:type="character" w:customStyle="1" w:styleId="Kop6Char">
    <w:name w:val="Kop 6 Char"/>
    <w:basedOn w:val="Absatz-Standardschriftart"/>
    <w:link w:val="berschrift6"/>
    <w:uiPriority w:val="9"/>
    <w:semiHidden/>
    <w:rsid w:val="00D47ACB"/>
    <w:rPr>
      <w:rFonts w:eastAsiaTheme="majorEastAsia" w:cstheme="majorBidi"/>
      <w:i/>
      <w:iCs/>
      <w:color w:val="243F60" w:themeColor="accent1" w:themeShade="7F"/>
    </w:rPr>
  </w:style>
  <w:style w:type="character" w:customStyle="1" w:styleId="Kop7Char">
    <w:name w:val="Kop 7 Char"/>
    <w:basedOn w:val="Absatz-Standardschriftart"/>
    <w:link w:val="berschrift7"/>
    <w:uiPriority w:val="9"/>
    <w:semiHidden/>
    <w:rsid w:val="00D47ACB"/>
    <w:rPr>
      <w:rFonts w:eastAsiaTheme="majorEastAsia" w:cstheme="majorBidi"/>
      <w:i/>
      <w:iCs/>
      <w:color w:val="404040" w:themeColor="text1" w:themeTint="BF"/>
    </w:rPr>
  </w:style>
  <w:style w:type="character" w:customStyle="1" w:styleId="Kop8Char">
    <w:name w:val="Kop 8 Char"/>
    <w:basedOn w:val="Absatz-Standardschriftart"/>
    <w:link w:val="berschrift8"/>
    <w:uiPriority w:val="9"/>
    <w:semiHidden/>
    <w:rsid w:val="00D47ACB"/>
    <w:rPr>
      <w:rFonts w:eastAsiaTheme="majorEastAsia" w:cstheme="majorBidi"/>
      <w:color w:val="404040" w:themeColor="text1" w:themeTint="BF"/>
      <w:sz w:val="20"/>
      <w:szCs w:val="20"/>
    </w:rPr>
  </w:style>
  <w:style w:type="character" w:customStyle="1" w:styleId="Kop9Char">
    <w:name w:val="Kop 9 Char"/>
    <w:basedOn w:val="Absatz-Standardschriftart"/>
    <w:link w:val="berschrift9"/>
    <w:uiPriority w:val="9"/>
    <w:semiHidden/>
    <w:rsid w:val="00D47ACB"/>
    <w:rPr>
      <w:rFonts w:eastAsiaTheme="majorEastAsia" w:cstheme="majorBidi"/>
      <w:i/>
      <w:iCs/>
      <w:color w:val="404040" w:themeColor="text1" w:themeTint="BF"/>
      <w:sz w:val="20"/>
      <w:szCs w:val="20"/>
    </w:rPr>
  </w:style>
  <w:style w:type="paragraph" w:styleId="Verzeichnis2">
    <w:name w:val="toc 2"/>
    <w:basedOn w:val="Standard"/>
    <w:next w:val="Standard"/>
    <w:autoRedefine/>
    <w:uiPriority w:val="39"/>
    <w:rsid w:val="006E1F14"/>
    <w:pPr>
      <w:ind w:hanging="851"/>
    </w:pPr>
  </w:style>
  <w:style w:type="paragraph" w:styleId="Verzeichnis1">
    <w:name w:val="toc 1"/>
    <w:basedOn w:val="Standard"/>
    <w:next w:val="Standard"/>
    <w:autoRedefine/>
    <w:uiPriority w:val="39"/>
    <w:rsid w:val="00E52CEE"/>
    <w:pPr>
      <w:tabs>
        <w:tab w:val="left" w:pos="360"/>
        <w:tab w:val="right" w:pos="8323"/>
      </w:tabs>
      <w:spacing w:before="240"/>
      <w:ind w:hanging="851"/>
    </w:pPr>
    <w:rPr>
      <w:b/>
    </w:rPr>
  </w:style>
  <w:style w:type="paragraph" w:styleId="Verzeichnis3">
    <w:name w:val="toc 3"/>
    <w:basedOn w:val="Standard"/>
    <w:next w:val="Standard"/>
    <w:autoRedefine/>
    <w:uiPriority w:val="39"/>
    <w:rsid w:val="006E1F14"/>
    <w:pPr>
      <w:ind w:hanging="851"/>
    </w:pPr>
  </w:style>
  <w:style w:type="character" w:styleId="Hyperlink">
    <w:name w:val="Hyperlink"/>
    <w:basedOn w:val="Absatz-Standardschriftart"/>
    <w:uiPriority w:val="99"/>
    <w:locked/>
    <w:rsid w:val="00546745"/>
    <w:rPr>
      <w:color w:val="000080"/>
      <w:u w:val="single"/>
    </w:rPr>
  </w:style>
  <w:style w:type="paragraph" w:styleId="Inhaltsverzeichnisberschrift">
    <w:name w:val="TOC Heading"/>
    <w:basedOn w:val="berschrift1"/>
    <w:next w:val="Standard"/>
    <w:uiPriority w:val="39"/>
    <w:semiHidden/>
    <w:unhideWhenUsed/>
    <w:qFormat/>
    <w:rsid w:val="00AD42C4"/>
    <w:pPr>
      <w:pageBreakBefore w:val="0"/>
      <w:numPr>
        <w:numId w:val="0"/>
      </w:numPr>
      <w:jc w:val="left"/>
      <w:outlineLvl w:val="9"/>
    </w:pPr>
    <w:rPr>
      <w:lang w:eastAsia="nl-NL"/>
    </w:rPr>
  </w:style>
  <w:style w:type="paragraph" w:customStyle="1" w:styleId="AppendixHeading1">
    <w:name w:val="Appendix Heading 1"/>
    <w:next w:val="Standard"/>
    <w:uiPriority w:val="13"/>
    <w:qFormat/>
    <w:rsid w:val="00E52CEE"/>
    <w:pPr>
      <w:pageBreakBefore/>
      <w:numPr>
        <w:numId w:val="3"/>
      </w:numPr>
      <w:spacing w:before="0" w:after="240"/>
      <w:ind w:left="0" w:hanging="851"/>
      <w:outlineLvl w:val="0"/>
    </w:pPr>
    <w:rPr>
      <w:b/>
      <w:color w:val="000080"/>
      <w:sz w:val="28"/>
    </w:rPr>
  </w:style>
  <w:style w:type="paragraph" w:customStyle="1" w:styleId="KopvanAppendices">
    <w:name w:val="Kop van Appendices"/>
    <w:basedOn w:val="Inhaltsverzeichnisberschrift"/>
    <w:semiHidden/>
    <w:locked/>
    <w:rsid w:val="009141CC"/>
    <w:pPr>
      <w:pageBreakBefore/>
    </w:pPr>
  </w:style>
  <w:style w:type="table" w:customStyle="1" w:styleId="SIRAStandaardtabel">
    <w:name w:val="SIRA Standaard tabel"/>
    <w:basedOn w:val="NormaleTabelle"/>
    <w:uiPriority w:val="99"/>
    <w:rsid w:val="008734E4"/>
    <w:pPr>
      <w:spacing w:before="40" w:after="0" w:line="240" w:lineRule="auto"/>
      <w:ind w:left="0"/>
    </w:pPr>
    <w:rPr>
      <w:sz w:val="16"/>
    </w:rPr>
    <w:tblPr>
      <w:tblInd w:w="5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A6A6A6" w:themeColor="background1" w:themeShade="A6"/>
        <w:insideV w:val="single" w:sz="4" w:space="0" w:color="A6A6A6" w:themeColor="background1" w:themeShade="A6"/>
      </w:tblBorders>
      <w:tblCellMar>
        <w:top w:w="28" w:type="dxa"/>
        <w:left w:w="57" w:type="dxa"/>
        <w:bottom w:w="28" w:type="dxa"/>
        <w:right w:w="57" w:type="dxa"/>
      </w:tblCellMar>
    </w:tblPr>
    <w:trPr>
      <w:cantSplit/>
    </w:trPr>
    <w:tcPr>
      <w:shd w:val="clear" w:color="auto" w:fill="FFFFFF" w:themeFill="background1"/>
    </w:tcPr>
    <w:tblStylePr w:type="firstRow">
      <w:rPr>
        <w:b/>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95B3D7" w:themeFill="accent1" w:themeFillTint="99"/>
      </w:tcPr>
    </w:tblStylePr>
  </w:style>
  <w:style w:type="paragraph" w:styleId="Beschriftung">
    <w:name w:val="caption"/>
    <w:aliases w:val="SIRA Titel tabel of figuur,SIRA Bijschrift"/>
    <w:basedOn w:val="Standard"/>
    <w:next w:val="Standard"/>
    <w:link w:val="BijschriftChar"/>
    <w:qFormat/>
    <w:rsid w:val="00A1451B"/>
    <w:pPr>
      <w:spacing w:line="240" w:lineRule="auto"/>
    </w:pPr>
    <w:rPr>
      <w:bCs/>
      <w:sz w:val="16"/>
    </w:rPr>
  </w:style>
  <w:style w:type="table" w:customStyle="1" w:styleId="SIRAKader">
    <w:name w:val="SIRA Kader"/>
    <w:basedOn w:val="NormaleTabelle"/>
    <w:uiPriority w:val="99"/>
    <w:rsid w:val="00842F06"/>
    <w:pPr>
      <w:spacing w:line="240" w:lineRule="atLeast"/>
      <w:ind w:left="0"/>
    </w:pPr>
    <w:rPr>
      <w:rFonts w:asciiTheme="minorHAnsi" w:hAnsiTheme="minorHAnsi"/>
      <w:sz w:val="16"/>
    </w:rPr>
    <w:tblPr>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top w:w="28" w:type="dxa"/>
        <w:left w:w="113" w:type="dxa"/>
        <w:right w:w="113" w:type="dxa"/>
      </w:tblCellMar>
    </w:tblPr>
    <w:tcPr>
      <w:shd w:val="clear" w:color="auto" w:fill="D9D9D9" w:themeFill="background1" w:themeFillShade="D9"/>
    </w:tcPr>
    <w:tblStylePr w:type="firstRow">
      <w:pPr>
        <w:wordWrap/>
        <w:spacing w:line="240" w:lineRule="atLeast"/>
      </w:pPr>
    </w:tblStylePr>
  </w:style>
  <w:style w:type="paragraph" w:customStyle="1" w:styleId="SIRAFiguur">
    <w:name w:val="SIRA Figuur"/>
    <w:basedOn w:val="Standard"/>
    <w:next w:val="Standard"/>
    <w:uiPriority w:val="11"/>
    <w:qFormat/>
    <w:rsid w:val="0092321E"/>
    <w:pPr>
      <w:pBdr>
        <w:top w:val="single" w:sz="4" w:space="9" w:color="auto"/>
        <w:bottom w:val="single" w:sz="4" w:space="9" w:color="auto"/>
      </w:pBdr>
    </w:pPr>
    <w:rPr>
      <w:lang w:eastAsia="nl-NL"/>
    </w:rPr>
  </w:style>
  <w:style w:type="paragraph" w:styleId="Index9">
    <w:name w:val="index 9"/>
    <w:basedOn w:val="Standard"/>
    <w:next w:val="Standard"/>
    <w:autoRedefine/>
    <w:uiPriority w:val="99"/>
    <w:semiHidden/>
    <w:unhideWhenUsed/>
    <w:rsid w:val="00916CA5"/>
    <w:pPr>
      <w:spacing w:before="0" w:after="0" w:line="240" w:lineRule="auto"/>
      <w:ind w:left="1620" w:hanging="180"/>
    </w:pPr>
  </w:style>
  <w:style w:type="paragraph" w:styleId="Index1">
    <w:name w:val="index 1"/>
    <w:basedOn w:val="Standard"/>
    <w:next w:val="Standard"/>
    <w:autoRedefine/>
    <w:uiPriority w:val="99"/>
    <w:semiHidden/>
    <w:unhideWhenUsed/>
    <w:rsid w:val="00916CA5"/>
    <w:pPr>
      <w:spacing w:before="0" w:after="0" w:line="240" w:lineRule="auto"/>
      <w:ind w:left="180" w:hanging="180"/>
    </w:pPr>
  </w:style>
  <w:style w:type="paragraph" w:customStyle="1" w:styleId="SIRABullets">
    <w:name w:val="SIRA Bullets"/>
    <w:basedOn w:val="Standard"/>
    <w:link w:val="SIRABulletsChar"/>
    <w:rsid w:val="0054138C"/>
    <w:pPr>
      <w:numPr>
        <w:numId w:val="5"/>
      </w:numPr>
    </w:pPr>
    <w:rPr>
      <w:rFonts w:ascii="Trebuchet MS" w:eastAsia="SimSun" w:hAnsi="Trebuchet MS" w:cs="Times New Roman"/>
      <w:szCs w:val="24"/>
      <w:lang w:val="en-US" w:eastAsia="zh-CN"/>
    </w:rPr>
  </w:style>
  <w:style w:type="paragraph" w:customStyle="1" w:styleId="SIRANummering">
    <w:name w:val="SIRA Nummering"/>
    <w:basedOn w:val="Standard"/>
    <w:link w:val="SIRANummeringChar"/>
    <w:uiPriority w:val="3"/>
    <w:qFormat/>
    <w:rsid w:val="0054138C"/>
    <w:pPr>
      <w:numPr>
        <w:numId w:val="6"/>
      </w:numPr>
    </w:pPr>
    <w:rPr>
      <w:rFonts w:ascii="Trebuchet MS" w:eastAsia="SimSun" w:hAnsi="Trebuchet MS" w:cs="Times New Roman"/>
      <w:color w:val="000000" w:themeColor="text1"/>
      <w:szCs w:val="24"/>
      <w:lang w:eastAsia="zh-CN"/>
    </w:rPr>
  </w:style>
  <w:style w:type="character" w:customStyle="1" w:styleId="SIRANummeringChar">
    <w:name w:val="SIRA Nummering Char"/>
    <w:basedOn w:val="Absatz-Standardschriftart"/>
    <w:link w:val="SIRANummering"/>
    <w:uiPriority w:val="3"/>
    <w:rsid w:val="009141CC"/>
    <w:rPr>
      <w:rFonts w:ascii="Trebuchet MS" w:eastAsia="SimSun" w:hAnsi="Trebuchet MS" w:cs="Times New Roman"/>
      <w:noProof/>
      <w:color w:val="000000" w:themeColor="text1"/>
      <w:szCs w:val="24"/>
      <w:lang w:eastAsia="zh-CN"/>
    </w:rPr>
  </w:style>
  <w:style w:type="character" w:customStyle="1" w:styleId="SIRABulletsChar">
    <w:name w:val="SIRA Bullets Char"/>
    <w:basedOn w:val="Absatz-Standardschriftart"/>
    <w:link w:val="SIRABullets"/>
    <w:rsid w:val="0054138C"/>
    <w:rPr>
      <w:rFonts w:ascii="Trebuchet MS" w:eastAsia="SimSun" w:hAnsi="Trebuchet MS" w:cs="Times New Roman"/>
      <w:noProof/>
      <w:szCs w:val="24"/>
      <w:lang w:val="en-US" w:eastAsia="zh-CN"/>
    </w:rPr>
  </w:style>
  <w:style w:type="paragraph" w:customStyle="1" w:styleId="SIRAopsomming">
    <w:name w:val="SIRA opsomming"/>
    <w:basedOn w:val="Listenabsatz"/>
    <w:link w:val="SIRAopsommingChar"/>
    <w:uiPriority w:val="3"/>
    <w:qFormat/>
    <w:rsid w:val="0036163F"/>
  </w:style>
  <w:style w:type="character" w:customStyle="1" w:styleId="SIRAopsommingChar">
    <w:name w:val="SIRA opsomming Char"/>
    <w:basedOn w:val="SIRABulletsChar"/>
    <w:link w:val="SIRAopsomming"/>
    <w:uiPriority w:val="3"/>
    <w:rsid w:val="009141CC"/>
    <w:rPr>
      <w:rFonts w:ascii="Trebuchet MS" w:eastAsia="SimSun" w:hAnsi="Trebuchet MS" w:cs="Times New Roman"/>
      <w:noProof/>
      <w:szCs w:val="24"/>
      <w:lang w:val="en-US" w:eastAsia="zh-CN"/>
    </w:rPr>
  </w:style>
  <w:style w:type="paragraph" w:styleId="Funotentext">
    <w:name w:val="footnote text"/>
    <w:basedOn w:val="Standard"/>
    <w:link w:val="VoetnoottekstChar"/>
    <w:uiPriority w:val="99"/>
    <w:semiHidden/>
    <w:unhideWhenUsed/>
    <w:rsid w:val="00324868"/>
    <w:pPr>
      <w:spacing w:before="0" w:after="0" w:line="200" w:lineRule="atLeast"/>
    </w:pPr>
    <w:rPr>
      <w:sz w:val="16"/>
      <w:szCs w:val="20"/>
    </w:rPr>
  </w:style>
  <w:style w:type="character" w:customStyle="1" w:styleId="VoetnoottekstChar">
    <w:name w:val="Voetnoottekst Char"/>
    <w:basedOn w:val="Absatz-Standardschriftart"/>
    <w:link w:val="Funotentext"/>
    <w:uiPriority w:val="99"/>
    <w:semiHidden/>
    <w:rsid w:val="00324868"/>
    <w:rPr>
      <w:noProof/>
      <w:sz w:val="16"/>
      <w:szCs w:val="20"/>
    </w:rPr>
  </w:style>
  <w:style w:type="character" w:styleId="Funotenzeichen">
    <w:name w:val="footnote reference"/>
    <w:basedOn w:val="Absatz-Standardschriftart"/>
    <w:semiHidden/>
    <w:unhideWhenUsed/>
    <w:rsid w:val="00605FEC"/>
    <w:rPr>
      <w:vertAlign w:val="superscript"/>
    </w:rPr>
  </w:style>
  <w:style w:type="paragraph" w:styleId="Endnotentext">
    <w:name w:val="endnote text"/>
    <w:basedOn w:val="Standard"/>
    <w:link w:val="EindnoottekstChar"/>
    <w:uiPriority w:val="99"/>
    <w:semiHidden/>
    <w:unhideWhenUsed/>
    <w:rsid w:val="00B52845"/>
    <w:pPr>
      <w:spacing w:before="0" w:after="0" w:line="240" w:lineRule="auto"/>
    </w:pPr>
    <w:rPr>
      <w:sz w:val="20"/>
      <w:szCs w:val="20"/>
    </w:rPr>
  </w:style>
  <w:style w:type="character" w:customStyle="1" w:styleId="EindnoottekstChar">
    <w:name w:val="Eindnoottekst Char"/>
    <w:basedOn w:val="Absatz-Standardschriftart"/>
    <w:link w:val="Endnotentext"/>
    <w:uiPriority w:val="99"/>
    <w:semiHidden/>
    <w:rsid w:val="00B52845"/>
    <w:rPr>
      <w:noProof/>
      <w:sz w:val="20"/>
      <w:szCs w:val="20"/>
    </w:rPr>
  </w:style>
  <w:style w:type="character" w:styleId="Endnotenzeichen">
    <w:name w:val="endnote reference"/>
    <w:basedOn w:val="Absatz-Standardschriftart"/>
    <w:uiPriority w:val="99"/>
    <w:semiHidden/>
    <w:unhideWhenUsed/>
    <w:rsid w:val="00B52845"/>
    <w:rPr>
      <w:vertAlign w:val="superscript"/>
    </w:rPr>
  </w:style>
  <w:style w:type="paragraph" w:styleId="Listenabsatz">
    <w:name w:val="List Paragraph"/>
    <w:basedOn w:val="SIRABullets"/>
    <w:uiPriority w:val="34"/>
    <w:qFormat/>
    <w:locked/>
    <w:rsid w:val="00B52845"/>
    <w:rPr>
      <w:lang w:val="nl-NL"/>
    </w:rPr>
  </w:style>
  <w:style w:type="numbering" w:customStyle="1" w:styleId="SIRANumberedlist">
    <w:name w:val="SIRA Numbered list"/>
    <w:uiPriority w:val="99"/>
    <w:rsid w:val="0036163F"/>
    <w:pPr>
      <w:numPr>
        <w:numId w:val="10"/>
      </w:numPr>
    </w:pPr>
  </w:style>
  <w:style w:type="paragraph" w:customStyle="1" w:styleId="SIRAStandaardtekst">
    <w:name w:val="SIRA Standaard tekst"/>
    <w:basedOn w:val="Standard"/>
    <w:link w:val="SIRAStandaardtekstChar"/>
    <w:rsid w:val="00ED04E6"/>
    <w:rPr>
      <w:rFonts w:ascii="Trebuchet MS" w:eastAsia="Times New Roman" w:hAnsi="Trebuchet MS" w:cs="Times New Roman"/>
      <w:szCs w:val="24"/>
      <w:lang w:eastAsia="nl-NL"/>
    </w:rPr>
  </w:style>
  <w:style w:type="character" w:customStyle="1" w:styleId="SIRAStandaardtekstChar">
    <w:name w:val="SIRA Standaard tekst Char"/>
    <w:link w:val="SIRAStandaardtekst"/>
    <w:rsid w:val="00ED04E6"/>
    <w:rPr>
      <w:rFonts w:ascii="Trebuchet MS" w:eastAsia="Times New Roman" w:hAnsi="Trebuchet MS" w:cs="Times New Roman"/>
      <w:szCs w:val="24"/>
      <w:lang w:eastAsia="nl-NL"/>
    </w:rPr>
  </w:style>
  <w:style w:type="paragraph" w:customStyle="1" w:styleId="Appendix">
    <w:name w:val="Appendix"/>
    <w:basedOn w:val="berschrift1"/>
    <w:next w:val="Standard"/>
    <w:uiPriority w:val="99"/>
    <w:rsid w:val="007A0B0D"/>
    <w:pPr>
      <w:keepLines w:val="0"/>
      <w:numPr>
        <w:numId w:val="14"/>
      </w:numPr>
      <w:overflowPunct w:val="0"/>
      <w:autoSpaceDE w:val="0"/>
      <w:autoSpaceDN w:val="0"/>
      <w:adjustRightInd w:val="0"/>
      <w:spacing w:before="60" w:after="60" w:line="240" w:lineRule="auto"/>
      <w:ind w:left="-1134"/>
      <w:textAlignment w:val="baseline"/>
      <w:outlineLvl w:val="9"/>
    </w:pPr>
    <w:rPr>
      <w:rFonts w:ascii="Trebuchet MS" w:eastAsia="Times New Roman" w:hAnsi="Trebuchet MS" w:cs="Times New Roman"/>
      <w:bCs w:val="0"/>
      <w:kern w:val="28"/>
      <w:szCs w:val="20"/>
    </w:rPr>
  </w:style>
  <w:style w:type="character" w:customStyle="1" w:styleId="BijschriftChar">
    <w:name w:val="Bijschrift Char"/>
    <w:aliases w:val="SIRA Titel tabel of figuur Char,SIRA Bijschrift Char"/>
    <w:link w:val="Beschriftung"/>
    <w:rsid w:val="007A0B0D"/>
    <w:rPr>
      <w:bCs/>
      <w:sz w:val="16"/>
    </w:rPr>
  </w:style>
  <w:style w:type="numbering" w:customStyle="1" w:styleId="Bulletsniveau1">
    <w:name w:val="Bullets niveau 1"/>
    <w:rsid w:val="007A0B0D"/>
    <w:pPr>
      <w:numPr>
        <w:numId w:val="15"/>
      </w:numPr>
    </w:pPr>
  </w:style>
  <w:style w:type="paragraph" w:customStyle="1" w:styleId="Bulletniveau1">
    <w:name w:val="Bullet niveau 1"/>
    <w:basedOn w:val="Standard"/>
    <w:link w:val="Bulletniveau1Char"/>
    <w:rsid w:val="007A0B0D"/>
    <w:pPr>
      <w:overflowPunct w:val="0"/>
      <w:autoSpaceDE w:val="0"/>
      <w:autoSpaceDN w:val="0"/>
      <w:adjustRightInd w:val="0"/>
      <w:spacing w:before="0" w:after="80" w:line="240" w:lineRule="auto"/>
      <w:textAlignment w:val="baseline"/>
    </w:pPr>
    <w:rPr>
      <w:rFonts w:ascii="Trebuchet MS" w:eastAsia="Times New Roman" w:hAnsi="Trebuchet MS" w:cs="Times New Roman"/>
      <w:kern w:val="24"/>
      <w:szCs w:val="20"/>
    </w:rPr>
  </w:style>
  <w:style w:type="character" w:customStyle="1" w:styleId="Bulletniveau1Char">
    <w:name w:val="Bullet niveau 1 Char"/>
    <w:basedOn w:val="Absatz-Standardschriftart"/>
    <w:link w:val="Bulletniveau1"/>
    <w:rsid w:val="007A0B0D"/>
    <w:rPr>
      <w:rFonts w:ascii="Trebuchet MS" w:eastAsia="Times New Roman" w:hAnsi="Trebuchet MS" w:cs="Times New Roman"/>
      <w:kern w:val="24"/>
      <w:szCs w:val="20"/>
    </w:rPr>
  </w:style>
  <w:style w:type="paragraph" w:customStyle="1" w:styleId="Kop4-genummerd">
    <w:name w:val="Kop 4 - genummerd"/>
    <w:basedOn w:val="berschrift4"/>
    <w:link w:val="Kop4-genummerdChar"/>
    <w:qFormat/>
    <w:rsid w:val="001A0D0E"/>
    <w:pPr>
      <w:numPr>
        <w:numId w:val="16"/>
      </w:numPr>
      <w:ind w:left="567" w:hanging="567"/>
    </w:pPr>
  </w:style>
  <w:style w:type="character" w:styleId="Kommentarzeichen">
    <w:name w:val="annotation reference"/>
    <w:basedOn w:val="Absatz-Standardschriftart"/>
    <w:uiPriority w:val="99"/>
    <w:semiHidden/>
    <w:unhideWhenUsed/>
    <w:rsid w:val="001A0D0E"/>
    <w:rPr>
      <w:sz w:val="16"/>
      <w:szCs w:val="16"/>
    </w:rPr>
  </w:style>
  <w:style w:type="character" w:customStyle="1" w:styleId="Kop4-genummerdChar">
    <w:name w:val="Kop 4 - genummerd Char"/>
    <w:basedOn w:val="Kop4Char"/>
    <w:link w:val="Kop4-genummerd"/>
    <w:rsid w:val="001A0D0E"/>
    <w:rPr>
      <w:rFonts w:eastAsiaTheme="majorEastAsia" w:cstheme="majorBidi"/>
      <w:b/>
      <w:bCs/>
      <w:iCs/>
      <w:noProof/>
      <w:color w:val="000080"/>
    </w:rPr>
  </w:style>
  <w:style w:type="paragraph" w:styleId="Kommentartext">
    <w:name w:val="annotation text"/>
    <w:basedOn w:val="Standard"/>
    <w:link w:val="TekstopmerkingChar"/>
    <w:uiPriority w:val="99"/>
    <w:semiHidden/>
    <w:unhideWhenUsed/>
    <w:rsid w:val="001A0D0E"/>
    <w:pPr>
      <w:spacing w:line="240" w:lineRule="auto"/>
    </w:pPr>
    <w:rPr>
      <w:sz w:val="20"/>
      <w:szCs w:val="20"/>
    </w:rPr>
  </w:style>
  <w:style w:type="character" w:customStyle="1" w:styleId="TekstopmerkingChar">
    <w:name w:val="Tekst opmerking Char"/>
    <w:basedOn w:val="Absatz-Standardschriftart"/>
    <w:link w:val="Kommentartext"/>
    <w:uiPriority w:val="99"/>
    <w:semiHidden/>
    <w:rsid w:val="001A0D0E"/>
    <w:rPr>
      <w:sz w:val="20"/>
      <w:szCs w:val="20"/>
    </w:rPr>
  </w:style>
  <w:style w:type="paragraph" w:styleId="Kommentarthema">
    <w:name w:val="annotation subject"/>
    <w:basedOn w:val="Kommentartext"/>
    <w:next w:val="Kommentartext"/>
    <w:link w:val="OnderwerpvanopmerkingChar"/>
    <w:uiPriority w:val="99"/>
    <w:semiHidden/>
    <w:unhideWhenUsed/>
    <w:rsid w:val="001A0D0E"/>
    <w:rPr>
      <w:b/>
      <w:bCs/>
    </w:rPr>
  </w:style>
  <w:style w:type="character" w:customStyle="1" w:styleId="OnderwerpvanopmerkingChar">
    <w:name w:val="Onderwerp van opmerking Char"/>
    <w:basedOn w:val="TekstopmerkingChar"/>
    <w:link w:val="Kommentarthema"/>
    <w:uiPriority w:val="99"/>
    <w:semiHidden/>
    <w:rsid w:val="001A0D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520925">
      <w:bodyDiv w:val="1"/>
      <w:marLeft w:val="0"/>
      <w:marRight w:val="0"/>
      <w:marTop w:val="0"/>
      <w:marBottom w:val="0"/>
      <w:divBdr>
        <w:top w:val="none" w:sz="0" w:space="0" w:color="auto"/>
        <w:left w:val="none" w:sz="0" w:space="0" w:color="auto"/>
        <w:bottom w:val="none" w:sz="0" w:space="0" w:color="auto"/>
        <w:right w:val="none" w:sz="0" w:space="0" w:color="auto"/>
      </w:divBdr>
    </w:div>
    <w:div w:id="181255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land.vanderheijden\Desktop\2012\130305%20Sjabloon%20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IRA tekst">
      <a:majorFont>
        <a:latin typeface="Trebuchet MS"/>
        <a:ea typeface=""/>
        <a:cs typeface=""/>
      </a:majorFont>
      <a:minorFont>
        <a:latin typeface="Trebuchet MS"/>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1CD86-8EC5-4EAB-8940-16AB34FB9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130305 Sjabloon Rapport.dotx</Template>
  <TotalTime>0</TotalTime>
  <Pages>5</Pages>
  <Words>8955</Words>
  <Characters>56422</Characters>
  <Application>Microsoft Office Word</Application>
  <DocSecurity>4</DocSecurity>
  <Lines>470</Lines>
  <Paragraphs>130</Paragraphs>
  <ScaleCrop>false</ScaleCrop>
  <HeadingPairs>
    <vt:vector size="2" baseType="variant">
      <vt:variant>
        <vt:lpstr>Titel</vt:lpstr>
      </vt:variant>
      <vt:variant>
        <vt:i4>1</vt:i4>
      </vt:variant>
    </vt:vector>
  </HeadingPairs>
  <TitlesOfParts>
    <vt:vector size="1" baseType="lpstr">
      <vt:lpstr/>
    </vt:vector>
  </TitlesOfParts>
  <Company>SIRA CONSULTING</Company>
  <LinksUpToDate>false</LinksUpToDate>
  <CharactersWithSpaces>65247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van der Poll;Joland van der Heijden</dc:creator>
  <cp:keywords>www.siraconsulting.nl</cp:keywords>
  <cp:lastModifiedBy>Veil, Winfried, Dr.</cp:lastModifiedBy>
  <cp:revision>2</cp:revision>
  <cp:lastPrinted>2013-05-06T13:25:00Z</cp:lastPrinted>
  <dcterms:created xsi:type="dcterms:W3CDTF">2014-08-12T14:54:00Z</dcterms:created>
  <dcterms:modified xsi:type="dcterms:W3CDTF">2014-08-12T14:54:00Z</dcterms:modified>
</cp:coreProperties>
</file>