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Service agreement</w:t>
      </w:r>
    </w:p>
    <w:p/>
    <w:p>
      <w:pPr>
        <w:spacing w:after="420"/>
      </w:pPr>
      <w:r>
        <w:rPr>
          <w:sz w:val="22"/>
        </w:rPr>
        <w:t xml:space="preserve">This agreement is made between the two parties named below.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The supplier provides the software described in the appendix for one year. Payment is due within thirty days of each invoice.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Either party may end this agreement with three months' notice. Changes to this agreement are valid only in writing.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The supplier keeps the service available on working days. Both parties treat what they learn of each other as confidential.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Austrian law applies, and the court of Vienna has jurisdiction. The supplier keeps a backup of the customer's data for thirty days.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Support requests are answered within one working day. The customer names one person who may approve changes.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Prices hold for the first year and are reviewed each autumn. Neither party may pass this agreement to a third party without consent.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The appendix lists the software covered and the version it starts at. This agreement replaces every earlier arrangement between the parties.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