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640"/>
      </w:pPr>
      <w:r>
        <w:rPr>
          <w:b/>
          <w:sz w:val="72"/>
        </w:rPr>
        <w:t xml:space="preserve">Umowa o świadczenie usług</w:t>
      </w:r>
    </w:p>
    <w:p/>
    <w:p>
      <w:pPr>
        <w:spacing w:after="420"/>
      </w:pPr>
      <w:r>
        <w:rPr>
          <w:sz w:val="22"/>
        </w:rPr>
        <w:t xml:space="preserve">Niniejsza umowa zostaje zawarta między dwiema stronami wymienionymi poniżej.</w:t>
      </w:r>
    </w:p>
    <w:p/>
    <w:p>
      <w:pPr>
        <w:spacing w:after="300"/>
      </w:pPr>
      <w:r>
        <w:rPr>
          <w:b/>
          <w:color w:val="1c6fd6"/>
          <w:sz w:val="22"/>
        </w:rPr>
        <w:t xml:space="preserve">1.  </w:t>
      </w:r>
      <w:r>
        <w:rPr>
          <w:sz w:val="22"/>
        </w:rPr>
        <w:t xml:space="preserve">Dostawca udostępnia oprogramowanie opisane w załączniku na okres roku. Płatność jest wymagana w ciągu trzydziestu dni od każdej faktury.</w:t>
      </w:r>
    </w:p>
    <w:p/>
    <w:p>
      <w:pPr>
        <w:spacing w:after="300"/>
      </w:pPr>
      <w:r>
        <w:rPr>
          <w:b/>
          <w:color w:val="1c6fd6"/>
          <w:sz w:val="22"/>
        </w:rPr>
        <w:t xml:space="preserve">2.  </w:t>
      </w:r>
      <w:r>
        <w:rPr>
          <w:sz w:val="22"/>
        </w:rPr>
        <w:t xml:space="preserve">Każda ze stron może rozwiązać umowę z trzymiesięcznym wypowiedzeniem. Zmiany umowy wymagają formy pisemnej.</w:t>
      </w:r>
    </w:p>
    <w:p/>
    <w:p>
      <w:pPr>
        <w:spacing w:after="300"/>
      </w:pPr>
      <w:r>
        <w:rPr>
          <w:b/>
          <w:color w:val="1c6fd6"/>
          <w:sz w:val="22"/>
        </w:rPr>
        <w:t xml:space="preserve">3.  </w:t>
      </w:r>
      <w:r>
        <w:rPr>
          <w:sz w:val="22"/>
        </w:rPr>
        <w:t xml:space="preserve">Dostawca utrzymuje dostępność usługi w dni robocze. Obie strony traktują jako poufne to, czego dowiedzą się o sobie.</w:t>
      </w:r>
    </w:p>
    <w:p/>
    <w:p>
      <w:pPr>
        <w:spacing w:after="300"/>
      </w:pPr>
      <w:r>
        <w:rPr>
          <w:b/>
          <w:color w:val="1c6fd6"/>
          <w:sz w:val="22"/>
        </w:rPr>
        <w:t xml:space="preserve">4.  </w:t>
      </w:r>
      <w:r>
        <w:rPr>
          <w:sz w:val="22"/>
        </w:rPr>
        <w:t xml:space="preserve">Obowiązuje prawo austriackie, a sądem właściwym jest sąd w Wiedniu. Dostawca przechowuje kopię danych klienta przez trzydzieści dni.</w:t>
      </w:r>
    </w:p>
    <w:p/>
    <w:p>
      <w:pPr>
        <w:spacing w:after="300"/>
      </w:pPr>
      <w:r>
        <w:rPr>
          <w:b/>
          <w:color w:val="1c6fd6"/>
          <w:sz w:val="22"/>
        </w:rPr>
        <w:t xml:space="preserve">5.  </w:t>
      </w:r>
      <w:r>
        <w:rPr>
          <w:sz w:val="22"/>
        </w:rPr>
        <w:t xml:space="preserve">Zgłoszenia do wsparcia są rozpatrywane w ciągu jednego dnia roboczego. Klient wskazuje jedną osobę uprawnioną do zatwierdzania zmian.</w:t>
      </w:r>
    </w:p>
    <w:p/>
    <w:p>
      <w:pPr>
        <w:spacing w:after="300"/>
      </w:pPr>
      <w:r>
        <w:rPr>
          <w:b/>
          <w:color w:val="1c6fd6"/>
          <w:sz w:val="22"/>
        </w:rPr>
        <w:t xml:space="preserve">6.  </w:t>
      </w:r>
      <w:r>
        <w:rPr>
          <w:sz w:val="22"/>
        </w:rPr>
        <w:t xml:space="preserve">Ceny obowiązują przez pierwszy rok i są weryfikowane każdej jesieni. Żadna ze stron nie może przenieść umowy na osobę trzecią bez zgody.</w:t>
      </w:r>
    </w:p>
    <w:p/>
    <w:p>
      <w:pPr>
        <w:spacing w:after="300"/>
      </w:pPr>
      <w:r>
        <w:rPr>
          <w:b/>
          <w:color w:val="1c6fd6"/>
          <w:sz w:val="22"/>
        </w:rPr>
        <w:t xml:space="preserve">7.  </w:t>
      </w:r>
      <w:r>
        <w:rPr>
          <w:sz w:val="22"/>
        </w:rPr>
        <w:t xml:space="preserve">Załącznik wymienia objęte oprogramowanie i wersję, od której obowiązuje. Niniejsza umowa zastępuje wszystkie wcześniejsze ustalenia stron.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