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Hizmet sözleşmesi</w:t>
      </w:r>
    </w:p>
    <w:p/>
    <w:p>
      <w:pPr>
        <w:spacing w:after="420"/>
      </w:pPr>
      <w:r>
        <w:rPr>
          <w:sz w:val="22"/>
        </w:rPr>
        <w:t xml:space="preserve">Bu sözleşme aşağıda belirtilen iki taraf arasında yapılmıştır.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Tedarikçi, ekte tanımlanan yazılımı bir yıl boyunca sağlar. Ödeme, her faturadan sonra otuz gün içinde yapılır.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Taraflardan biri sözleşmeyi üç ay önceden bildirerek sonlandırabilir. Değişiklikler yalnızca yazılı olarak geçerlidir.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Tedarikçi hizmeti iş günlerinde erişilebilir tutar. Taraflar birbirleri hakkında öğrendiklerini gizli tutar.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Avusturya hukuku uygulanır ve yetkili mahkeme Viyana'dır. Tedarikçi, müşterinin verilerinin yedeğini otuz gün saklar.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Destek talepleri bir iş günü içinde yanıtlanır. Müşteri, değişiklikleri onaylayabilecek bir kişi belirler.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Fiyatlar ilk yıl sabittir ve her sonbahar gözden geçirilir. Hiçbir taraf sözleşmeyi onay almadan üçüncü kişiye devredemez.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Ek, kapsanan yazılımı ve geçerli olduğu sürümü listeler. Bu sözleşme, taraflar arasındaki önceki tüm düzenlemelerin yerine geçer.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