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Check list OET stack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Base name stack:         </w:t>
        <w:tab/>
        <w:t xml:space="preserve">&lt;name&gt;.openearth.eu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projectnumber:                            </w:t>
        <w:tab/>
        <w:t xml:space="preserve">…..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 of enquiry:                           </w:t>
        <w:tab/>
        <w:t xml:space="preserve">yyyy-mm-dd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12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905"/>
        <w:gridCol w:w="1875"/>
        <w:gridCol w:w="1785"/>
        <w:gridCol w:w="1695"/>
        <w:gridCol w:w="1860"/>
        <w:tblGridChange w:id="0">
          <w:tblGrid>
            <w:gridCol w:w="1905"/>
            <w:gridCol w:w="1875"/>
            <w:gridCol w:w="1785"/>
            <w:gridCol w:w="1695"/>
            <w:gridCol w:w="186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Software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Specificities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Accounts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Remarks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Subversion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Separate storage 1TB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0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265"/>
        <w:gridCol w:w="1770"/>
        <w:gridCol w:w="1740"/>
        <w:gridCol w:w="1740"/>
        <w:gridCol w:w="1590"/>
        <w:tblGridChange w:id="0">
          <w:tblGrid>
            <w:gridCol w:w="2265"/>
            <w:gridCol w:w="1770"/>
            <w:gridCol w:w="1740"/>
            <w:gridCol w:w="1740"/>
            <w:gridCol w:w="15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Software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Specificities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Accounts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Security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PostgreSQL/PostGIS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100Gb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geonetwork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geonetwork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rw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oet_data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oet_data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rw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geoserver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3"/>
        <w:bidiVisual w:val="0"/>
        <w:tblW w:w="834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235"/>
        <w:gridCol w:w="2040"/>
        <w:gridCol w:w="2040"/>
        <w:gridCol w:w="2025"/>
        <w:tblGridChange w:id="0">
          <w:tblGrid>
            <w:gridCol w:w="2235"/>
            <w:gridCol w:w="2040"/>
            <w:gridCol w:w="2040"/>
            <w:gridCol w:w="202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Software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Specificities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Accounts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Security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Geoserver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rw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Geonetwork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rw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4"/>
        <w:bidiVisual w:val="0"/>
        <w:tblW w:w="912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905"/>
        <w:gridCol w:w="1875"/>
        <w:gridCol w:w="1785"/>
        <w:gridCol w:w="1695"/>
        <w:gridCol w:w="1860"/>
        <w:tblGridChange w:id="0">
          <w:tblGrid>
            <w:gridCol w:w="1905"/>
            <w:gridCol w:w="1875"/>
            <w:gridCol w:w="1785"/>
            <w:gridCol w:w="1695"/>
            <w:gridCol w:w="186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Software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Specificities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Accounts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Remarks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THREDSS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Separate storage 1TB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rw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rw on threddsConfig.xml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rw on catalog.xml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rights to start/stop/restart tomcat6 service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aanvraag OET Stack.docx</dc:title>
</cp:coreProperties>
</file>