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Technology/Knowledge Transfer Plan</w:t>
      </w: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GLOW, EPC-17-043, </w:t>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HiPAS GridLAB-D: High-performance Agent Based Simulation using GridLAB-D (EPC-17-046), </w:t>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OpenFIDO: Open-source Framework for Integrated Data Operations (EPC-17-047)</w:t>
      </w:r>
    </w:p>
    <w:p w:rsidR="00000000" w:rsidDel="00000000" w:rsidP="00000000" w:rsidRDefault="00000000" w:rsidRPr="00000000" w14:paraId="00000006">
      <w:pPr>
        <w:pageBreakBefore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Recipient Project Manager: Bo Yang (Hitachi), David Chassin (SLAC), Matthew Tisdale (Gridworks)</w:t>
      </w:r>
    </w:p>
    <w:p w:rsidR="00000000" w:rsidDel="00000000" w:rsidP="00000000" w:rsidRDefault="00000000" w:rsidRPr="00000000" w14:paraId="00000008">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Commission Project Manager: Brian McCollough</w:t>
      </w:r>
    </w:p>
    <w:p w:rsidR="00000000" w:rsidDel="00000000" w:rsidP="00000000" w:rsidRDefault="00000000" w:rsidRPr="00000000" w14:paraId="00000009">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tl w:val="0"/>
        </w:rPr>
      </w:r>
    </w:p>
    <w:p w:rsidR="00000000" w:rsidDel="00000000" w:rsidP="00000000" w:rsidRDefault="00000000" w:rsidRPr="00000000" w14:paraId="0000000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GridLAB-D is a powerful program meant to help improve access to electric distribution system modeling. Developed more than a decade ago between the Department of Energy and the Pacific Northwest National Laboratory, GridLAB-D continues to be an excellent tool for evaluating the interconnection, scalability, and use of distributed energy resources into power grids. However GridLAB-D has suffered from limited uptake due, in part, to the primary interface being based on command line style. To overcome this barrier, the California Energy Commission issued EPIC grants in 2018, aiming to empower GridLAB-D in a variety of fundamental ways. </w:t>
      </w:r>
    </w:p>
    <w:p w:rsidR="00000000" w:rsidDel="00000000" w:rsidP="00000000" w:rsidRDefault="00000000" w:rsidRPr="00000000" w14:paraId="0000000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by the SLAC National Accelerator Lab (SLAC), Hitachi, Gridworks, National Grid, and the Pacific Northwest National Laboratory (PNNL) GridLAB-D will see several major updates by the conclusion of the program.These updates are focused around creating a new graphical user interface (GLOW), developing a powerful multithreading capability to increase simulation speed (HiPAS), and creating an open source data interchange that allows for the data governing existing grid systems to be freely shared among participants (OpenFIDO). These upgrades are meant to bring GridLAB-D to the forefront of the power flow and distribution level modeling toolkit. With California working to lead the way on renewable integration, tools like GridLAB-D will play a core role in ensuring that the modernization of the grid happens in a safe, secure, and effective manner.</w:t>
      </w:r>
    </w:p>
    <w:p w:rsidR="00000000" w:rsidDel="00000000" w:rsidP="00000000" w:rsidRDefault="00000000" w:rsidRPr="00000000" w14:paraId="0000000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br w:type="textWrapping"/>
      </w:r>
    </w:p>
    <w:p w:rsidR="00000000" w:rsidDel="00000000" w:rsidP="00000000" w:rsidRDefault="00000000" w:rsidRPr="00000000" w14:paraId="00000010">
      <w:pPr>
        <w:pageBreakBefore w:val="0"/>
        <w:numPr>
          <w:ilvl w:val="1"/>
          <w:numId w:val="3"/>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GridLAB-D Program Overview</w:t>
      </w:r>
    </w:p>
    <w:p w:rsidR="00000000" w:rsidDel="00000000" w:rsidP="00000000" w:rsidRDefault="00000000" w:rsidRPr="00000000" w14:paraId="0000001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GridLAB-D presents an opportunity to continue to develop an effective open source tool that is meant to provide greater insight to interested parties in the area of distribution system modeling. Led by SLAC, Hitachi, Gridworks, National Grid, and the PNNL three separate EPIC funded projects support ongoing development of GridLAB-D into a future-proofed tool to provide data access and modeling capabilities California’s energy agencies, utilities, community choice aggregators, distributed energy resource providers, and  interested stakeholders.</w:t>
        <w:br w:type="textWrapping"/>
      </w:r>
    </w:p>
    <w:p w:rsidR="00000000" w:rsidDel="00000000" w:rsidP="00000000" w:rsidRDefault="00000000" w:rsidRPr="00000000" w14:paraId="00000012">
      <w:pPr>
        <w:pageBreakBefore w:val="0"/>
        <w:numPr>
          <w:ilvl w:val="2"/>
          <w:numId w:val="3"/>
        </w:numPr>
        <w:spacing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GridLAB-D Open Workspace (GLOW) Overview</w:t>
      </w:r>
    </w:p>
    <w:p w:rsidR="00000000" w:rsidDel="00000000" w:rsidP="00000000" w:rsidRDefault="00000000" w:rsidRPr="00000000" w14:paraId="0000001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GridLAB-D Open Workspace (GLOW) is an EPIC funded initiative focused on improving the basic accessibility of GridLAB-D by developing a high-end graphical user interface (GUI) that will be more intuitive and user friendly for all stakeholders, including non-expert users. The development of this GUI is meant to provide an opportunity for the novice user to work within the program while still maintaining the depth and power that experienced distribution modelling teams have come to expect through their own usage and development. Facilitating this work is Hitachi and </w:t>
      </w:r>
      <w:r w:rsidDel="00000000" w:rsidR="00000000" w:rsidRPr="00000000">
        <w:rPr>
          <w:rFonts w:ascii="Times New Roman" w:cs="Times New Roman" w:eastAsia="Times New Roman" w:hAnsi="Times New Roman"/>
          <w:sz w:val="24"/>
          <w:szCs w:val="24"/>
          <w:rtl w:val="0"/>
        </w:rPr>
        <w:t xml:space="preserve">Gridworks in </w:t>
      </w:r>
      <w:r w:rsidDel="00000000" w:rsidR="00000000" w:rsidRPr="00000000">
        <w:rPr>
          <w:rFonts w:ascii="Times New Roman" w:cs="Times New Roman" w:eastAsia="Times New Roman" w:hAnsi="Times New Roman"/>
          <w:sz w:val="24"/>
          <w:szCs w:val="24"/>
          <w:rtl w:val="0"/>
        </w:rPr>
        <w:t xml:space="preserve">a human-centered design process emphasizing the needed capabilities of the modeling program.</w:t>
        <w:br w:type="textWrapping"/>
      </w:r>
    </w:p>
    <w:p w:rsidR="00000000" w:rsidDel="00000000" w:rsidP="00000000" w:rsidRDefault="00000000" w:rsidRPr="00000000" w14:paraId="00000014">
      <w:pPr>
        <w:pageBreakBefore w:val="0"/>
        <w:numPr>
          <w:ilvl w:val="2"/>
          <w:numId w:val="3"/>
        </w:numPr>
        <w:spacing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Hi-Performance Agent Based Simulation using GridLAB-D (HiPAS) Overview</w:t>
      </w:r>
    </w:p>
    <w:p w:rsidR="00000000" w:rsidDel="00000000" w:rsidP="00000000" w:rsidRDefault="00000000" w:rsidRPr="00000000" w14:paraId="00000015">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Hi-Performance Agent Based Simulation using GridLAB-D (HiPAS) is a powerful open-source upgrade to GridLAB-D that improves the analysis performance and computational efficiency of the tool. By using intelligent and adaptive multithreading to deploy a highly granular parallelization in agent based simulations the HiPAS upgrade will be able to greatly improve the overall efficiency of GridLAB-D for large modeling projects.</w:t>
        <w:br w:type="textWrapping"/>
      </w:r>
    </w:p>
    <w:p w:rsidR="00000000" w:rsidDel="00000000" w:rsidP="00000000" w:rsidRDefault="00000000" w:rsidRPr="00000000" w14:paraId="00000016">
      <w:pPr>
        <w:pageBreakBefore w:val="0"/>
        <w:numPr>
          <w:ilvl w:val="2"/>
          <w:numId w:val="3"/>
        </w:numPr>
        <w:spacing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Open Framework for Integrated Data Operations (OpenFIDO) Overview</w:t>
      </w:r>
    </w:p>
    <w:p w:rsidR="00000000" w:rsidDel="00000000" w:rsidP="00000000" w:rsidRDefault="00000000" w:rsidRPr="00000000" w14:paraId="0000001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 Framework for Integrated Data Operations (OpenFIDO) initiative is developing a data interchange, synthesis, and analysis platform that will be open source. This is meant to improve the exchange of data between different power flow systems by evaluating the existing frameworks for this data, what gaps exist, how these gaps can be filled, and improve the reliability of data systemwide. With the goal to develop a gold standard data platform that can be adaptive and comprehensive the OpenFIDO initiative will ensure that interested parties are able to efficiently find the information they need.</w:t>
        <w:br w:type="textWrapping"/>
      </w:r>
    </w:p>
    <w:p w:rsidR="00000000" w:rsidDel="00000000" w:rsidP="00000000" w:rsidRDefault="00000000" w:rsidRPr="00000000" w14:paraId="00000018">
      <w:pPr>
        <w:pageBreakBefore w:val="0"/>
        <w:numPr>
          <w:ilvl w:val="1"/>
          <w:numId w:val="3"/>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Goals</w:t>
      </w:r>
    </w:p>
    <w:p w:rsidR="00000000" w:rsidDel="00000000" w:rsidP="00000000" w:rsidRDefault="00000000" w:rsidRPr="00000000" w14:paraId="0000001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GridLAB-D initiatives will continue to improve a powerful existing tool and improve its accessibility. Through a</w:t>
      </w:r>
      <w:r w:rsidDel="00000000" w:rsidR="00000000" w:rsidRPr="00000000">
        <w:rPr>
          <w:rFonts w:ascii="Times New Roman" w:cs="Times New Roman" w:eastAsia="Times New Roman" w:hAnsi="Times New Roman"/>
          <w:sz w:val="24"/>
          <w:szCs w:val="24"/>
          <w:rtl w:val="0"/>
        </w:rPr>
        <w:t xml:space="preserve"> human-centered design </w:t>
      </w:r>
      <w:r w:rsidDel="00000000" w:rsidR="00000000" w:rsidRPr="00000000">
        <w:rPr>
          <w:rFonts w:ascii="Times New Roman" w:cs="Times New Roman" w:eastAsia="Times New Roman" w:hAnsi="Times New Roman"/>
          <w:sz w:val="24"/>
          <w:szCs w:val="24"/>
          <w:rtl w:val="0"/>
        </w:rPr>
        <w:t xml:space="preserve"> process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development of these initiatives is meant to be as user friendly and forward looking as possible. The human centered design process focuses on speaking with current users and modelers in this area and understanding the difficulties they face in their projects. Human centered design understands the functional needs of the program and attempts to incorporate the workflow of modeling from current experts. Working to reduce the extraneous clicking, scrolling, and navigating to find the results and information the user is looking for improves the overall experience and can reduce ergonomic strain.</w:t>
      </w:r>
    </w:p>
    <w:p w:rsidR="00000000" w:rsidDel="00000000" w:rsidP="00000000" w:rsidRDefault="00000000" w:rsidRPr="00000000" w14:paraId="0000001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w:t>
      </w:r>
      <w:r w:rsidDel="00000000" w:rsidR="00000000" w:rsidRPr="00000000">
        <w:rPr>
          <w:rFonts w:ascii="Times New Roman" w:cs="Times New Roman" w:eastAsia="Times New Roman" w:hAnsi="Times New Roman"/>
          <w:sz w:val="24"/>
          <w:szCs w:val="24"/>
          <w:rtl w:val="0"/>
        </w:rPr>
        <w:t xml:space="preserve"> an open and easily accessible platform for modeling the grid will expand the conversation around the value of grid services, and working to provide independent validation of the planning and grid development process.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C">
      <w:pPr>
        <w:pageBreakBefore w:val="0"/>
        <w:numPr>
          <w:ilvl w:val="1"/>
          <w:numId w:val="3"/>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Value of Knowledge Transfer</w:t>
      </w:r>
    </w:p>
    <w:p w:rsidR="00000000" w:rsidDel="00000000" w:rsidP="00000000" w:rsidRDefault="00000000" w:rsidRPr="00000000" w14:paraId="0000001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transfer refers to the process by which information gained is documented and communicated to identified key audiences. This update of GridLAB-D is an opportunity to develop a more comprehensive outreach program surrounding this powerful open-source tool. </w:t>
      </w:r>
      <w:r w:rsidDel="00000000" w:rsidR="00000000" w:rsidRPr="00000000">
        <w:rPr>
          <w:rFonts w:ascii="Times New Roman" w:cs="Times New Roman" w:eastAsia="Times New Roman" w:hAnsi="Times New Roman"/>
          <w:sz w:val="24"/>
          <w:szCs w:val="24"/>
          <w:rtl w:val="0"/>
        </w:rPr>
        <w:t xml:space="preserve">Improving transparency and shared analytics are important goals correlated with the knowledge transfer process.</w:t>
      </w:r>
      <w:r w:rsidDel="00000000" w:rsidR="00000000" w:rsidRPr="00000000">
        <w:rPr>
          <w:rFonts w:ascii="Times New Roman" w:cs="Times New Roman" w:eastAsia="Times New Roman" w:hAnsi="Times New Roman"/>
          <w:sz w:val="24"/>
          <w:szCs w:val="24"/>
          <w:rtl w:val="0"/>
        </w:rPr>
        <w:t xml:space="preserve"> The combination of transparency, data access, and the new graphical user interface will help introduce GridLAB-D to a new generation of users for whom it can be the powerful and default choice for their modeling needs.</w:t>
      </w:r>
    </w:p>
    <w:p w:rsidR="00000000" w:rsidDel="00000000" w:rsidP="00000000" w:rsidRDefault="00000000" w:rsidRPr="00000000" w14:paraId="0000001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knowledge transfer for the GLOW program are broadly across these areas:</w:t>
      </w:r>
    </w:p>
    <w:p w:rsidR="00000000" w:rsidDel="00000000" w:rsidP="00000000" w:rsidRDefault="00000000" w:rsidRPr="00000000" w14:paraId="0000001F">
      <w:pPr>
        <w:pageBreakBefore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Providing insight to California’s distribution grid to a broad range of public and private sector users that did not have this access previously.</w:t>
      </w:r>
    </w:p>
    <w:p w:rsidR="00000000" w:rsidDel="00000000" w:rsidP="00000000" w:rsidRDefault="00000000" w:rsidRPr="00000000" w14:paraId="00000020">
      <w:pPr>
        <w:pageBreakBefore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Improving access to a tool which can independently assess the ability of any modeled grid to integrate more distributed energy resources and reflect the value of doing so.</w:t>
      </w:r>
    </w:p>
    <w:p w:rsidR="00000000" w:rsidDel="00000000" w:rsidP="00000000" w:rsidRDefault="00000000" w:rsidRPr="00000000" w14:paraId="00000021">
      <w:pPr>
        <w:pageBreakBefore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anticipated future use cases are integrated into the platform to provide added utility as the need develops.</w:t>
        <w:br w:type="textWrapping"/>
      </w:r>
    </w:p>
    <w:p w:rsidR="00000000" w:rsidDel="00000000" w:rsidP="00000000" w:rsidRDefault="00000000" w:rsidRPr="00000000" w14:paraId="00000022">
      <w:pPr>
        <w:pageBreakBefore w:val="0"/>
        <w:numPr>
          <w:ilvl w:val="1"/>
          <w:numId w:val="3"/>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Statement of Purpose</w:t>
      </w:r>
      <w:r w:rsidDel="00000000" w:rsidR="00000000" w:rsidRPr="00000000">
        <w:rPr>
          <w:rtl w:val="0"/>
        </w:rPr>
      </w:r>
    </w:p>
    <w:p w:rsidR="00000000" w:rsidDel="00000000" w:rsidP="00000000" w:rsidRDefault="00000000" w:rsidRPr="00000000" w14:paraId="0000002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knowledge transfer plan aims to provide a platform for lessons learned and knowledge gained over the course of the GridLAB-D initiatives. The target audiences include the staff at the California Energy Commission, the California Public Utilities Commission, Community Choice Aggregator staff, DER vendors, public interest organizations, research institutions, an</w:t>
      </w:r>
      <w:r w:rsidDel="00000000" w:rsidR="00000000" w:rsidRPr="00000000">
        <w:rPr>
          <w:rFonts w:ascii="Times New Roman" w:cs="Times New Roman" w:eastAsia="Times New Roman" w:hAnsi="Times New Roman"/>
          <w:sz w:val="24"/>
          <w:szCs w:val="24"/>
          <w:rtl w:val="0"/>
        </w:rPr>
        <w:t xml:space="preserve">d oth</w:t>
      </w:r>
      <w:r w:rsidDel="00000000" w:rsidR="00000000" w:rsidRPr="00000000">
        <w:rPr>
          <w:rFonts w:ascii="Times New Roman" w:cs="Times New Roman" w:eastAsia="Times New Roman" w:hAnsi="Times New Roman"/>
          <w:sz w:val="24"/>
          <w:szCs w:val="24"/>
          <w:rtl w:val="0"/>
        </w:rPr>
        <w:t xml:space="preserve">er interested parties. To support the overall goal, this plan outlines actors, partners, and channels to communicate about the results of these projects.</w:t>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Knowledge Transfer Plan Implementers and Partners</w:t>
      </w:r>
    </w:p>
    <w:p w:rsidR="00000000" w:rsidDel="00000000" w:rsidP="00000000" w:rsidRDefault="00000000" w:rsidRPr="00000000" w14:paraId="0000002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Implementers:</w:t>
      </w:r>
      <w:r w:rsidDel="00000000" w:rsidR="00000000" w:rsidRPr="00000000">
        <w:rPr>
          <w:rtl w:val="0"/>
        </w:rPr>
      </w:r>
    </w:p>
    <w:p w:rsidR="00000000" w:rsidDel="00000000" w:rsidP="00000000" w:rsidRDefault="00000000" w:rsidRPr="00000000" w14:paraId="00000027">
      <w:pPr>
        <w:pageBreakBefore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SLAC</w:t>
      </w:r>
    </w:p>
    <w:p w:rsidR="00000000" w:rsidDel="00000000" w:rsidP="00000000" w:rsidRDefault="00000000" w:rsidRPr="00000000" w14:paraId="00000028">
      <w:pPr>
        <w:pageBreakBefore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Hitachi</w:t>
      </w:r>
    </w:p>
    <w:p w:rsidR="00000000" w:rsidDel="00000000" w:rsidP="00000000" w:rsidRDefault="00000000" w:rsidRPr="00000000" w14:paraId="00000029">
      <w:pPr>
        <w:pageBreakBefore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Gridworks</w:t>
      </w:r>
    </w:p>
    <w:p w:rsidR="00000000" w:rsidDel="00000000" w:rsidP="00000000" w:rsidRDefault="00000000" w:rsidRPr="00000000" w14:paraId="0000002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w:t>
      </w:r>
      <w:r w:rsidDel="00000000" w:rsidR="00000000" w:rsidRPr="00000000">
        <w:rPr>
          <w:rtl w:val="0"/>
        </w:rPr>
      </w:r>
    </w:p>
    <w:p w:rsidR="00000000" w:rsidDel="00000000" w:rsidP="00000000" w:rsidRDefault="00000000" w:rsidRPr="00000000" w14:paraId="0000002B">
      <w:pPr>
        <w:pageBreakBefore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National Grid</w:t>
      </w:r>
    </w:p>
    <w:p w:rsidR="00000000" w:rsidDel="00000000" w:rsidP="00000000" w:rsidRDefault="00000000" w:rsidRPr="00000000" w14:paraId="0000002C">
      <w:pPr>
        <w:pageBreakBefore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Pacific Northwest National Laboratory</w:t>
      </w:r>
    </w:p>
    <w:p w:rsidR="00000000" w:rsidDel="00000000" w:rsidP="00000000" w:rsidRDefault="00000000" w:rsidRPr="00000000" w14:paraId="0000002D">
      <w:pPr>
        <w:pageBreakBefore w:val="0"/>
        <w:numPr>
          <w:ilvl w:val="0"/>
          <w:numId w:val="5"/>
        </w:numPr>
        <w:spacing w:line="240" w:lineRule="auto"/>
        <w:ind w:left="720" w:hanging="360"/>
        <w:rPr>
          <w:rFonts w:ascii="Times New Roman" w:cs="Times New Roman" w:eastAsia="Times New Roman" w:hAnsi="Times New Roman"/>
          <w:sz w:val="24"/>
          <w:szCs w:val="24"/>
          <w:u w:val="none"/>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Technical Advisory Committee members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Kristen Brown</w:t>
      </w:r>
      <w:r w:rsidDel="00000000" w:rsidR="00000000" w:rsidRPr="00000000">
        <w:rPr>
          <w:rFonts w:ascii="Times New Roman" w:cs="Times New Roman" w:eastAsia="Times New Roman" w:hAnsi="Times New Roman"/>
          <w:sz w:val="24"/>
          <w:szCs w:val="24"/>
          <w:rtl w:val="0"/>
        </w:rPr>
        <w:t xml:space="preserve"> (ComEd)</w:t>
      </w:r>
    </w:p>
    <w:p w:rsidR="00000000" w:rsidDel="00000000" w:rsidP="00000000" w:rsidRDefault="00000000" w:rsidRPr="00000000" w14:paraId="0000002F">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Jameson Thornton (PG&amp;E)</w:t>
      </w:r>
    </w:p>
    <w:p w:rsidR="00000000" w:rsidDel="00000000" w:rsidP="00000000" w:rsidRDefault="00000000" w:rsidRPr="00000000" w14:paraId="00000030">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Aram Shumavon (Kevala)</w:t>
      </w:r>
    </w:p>
    <w:p w:rsidR="00000000" w:rsidDel="00000000" w:rsidP="00000000" w:rsidRDefault="00000000" w:rsidRPr="00000000" w14:paraId="00000031">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Eric Lightner (DOE)</w:t>
      </w:r>
    </w:p>
    <w:p w:rsidR="00000000" w:rsidDel="00000000" w:rsidP="00000000" w:rsidRDefault="00000000" w:rsidRPr="00000000" w14:paraId="00000032">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Merrian Borgeson (NRDC)</w:t>
      </w:r>
    </w:p>
    <w:p w:rsidR="00000000" w:rsidDel="00000000" w:rsidP="00000000" w:rsidRDefault="00000000" w:rsidRPr="00000000" w14:paraId="00000033">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Justin Regnier (CPUC)</w:t>
      </w:r>
    </w:p>
    <w:p w:rsidR="00000000" w:rsidDel="00000000" w:rsidP="00000000" w:rsidRDefault="00000000" w:rsidRPr="00000000" w14:paraId="00000034">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Pedram Jahangiri (National Grid)</w:t>
      </w:r>
    </w:p>
    <w:p w:rsidR="00000000" w:rsidDel="00000000" w:rsidP="00000000" w:rsidRDefault="00000000" w:rsidRPr="00000000" w14:paraId="00000035">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Jamie Patterson (CEC)</w:t>
      </w:r>
    </w:p>
    <w:p w:rsidR="00000000" w:rsidDel="00000000" w:rsidP="00000000" w:rsidRDefault="00000000" w:rsidRPr="00000000" w14:paraId="00000036">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Audrey Lee (SunRun)</w:t>
      </w:r>
    </w:p>
    <w:p w:rsidR="00000000" w:rsidDel="00000000" w:rsidP="00000000" w:rsidRDefault="00000000" w:rsidRPr="00000000" w14:paraId="00000037">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Raul Perez-Guerrero (SCE)</w:t>
      </w:r>
    </w:p>
    <w:p w:rsidR="00000000" w:rsidDel="00000000" w:rsidP="00000000" w:rsidRDefault="00000000" w:rsidRPr="00000000" w14:paraId="00000038">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Rachel Huang (SMUD)</w:t>
      </w:r>
    </w:p>
    <w:p w:rsidR="00000000" w:rsidDel="00000000" w:rsidP="00000000" w:rsidRDefault="00000000" w:rsidRPr="00000000" w14:paraId="00000039">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Davianna Olert (EDF)</w:t>
      </w:r>
    </w:p>
    <w:p w:rsidR="00000000" w:rsidDel="00000000" w:rsidP="00000000" w:rsidRDefault="00000000" w:rsidRPr="00000000" w14:paraId="0000003A">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Jim Baak (STEM)</w:t>
      </w:r>
    </w:p>
    <w:p w:rsidR="00000000" w:rsidDel="00000000" w:rsidP="00000000" w:rsidRDefault="00000000" w:rsidRPr="00000000" w14:paraId="0000003B">
      <w:pPr>
        <w:pageBreakBefore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Andy Bilich (EDF)</w:t>
      </w:r>
    </w:p>
    <w:p w:rsidR="00000000" w:rsidDel="00000000" w:rsidP="00000000" w:rsidRDefault="00000000" w:rsidRPr="00000000" w14:paraId="0000003C">
      <w:pPr>
        <w:pageBreakBefore w:val="0"/>
        <w:numPr>
          <w:ilvl w:val="1"/>
          <w:numId w:val="5"/>
        </w:numPr>
        <w:spacing w:line="240" w:lineRule="auto"/>
        <w:ind w:left="1440" w:hanging="360"/>
        <w:rPr>
          <w:rFonts w:ascii="Times New Roman" w:cs="Times New Roman" w:eastAsia="Times New Roman" w:hAnsi="Times New Roman"/>
          <w:sz w:val="24"/>
          <w:szCs w:val="24"/>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Laura Fedoruk (SunRun)</w:t>
      </w:r>
    </w:p>
    <w:p w:rsidR="00000000" w:rsidDel="00000000" w:rsidP="00000000" w:rsidRDefault="00000000" w:rsidRPr="00000000" w14:paraId="0000003D">
      <w:pPr>
        <w:pageBreakBefore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ageBreakBefore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Audiences</w:t>
      </w:r>
      <w:r w:rsidDel="00000000" w:rsidR="00000000" w:rsidRPr="00000000">
        <w:rPr>
          <w:rtl w:val="0"/>
        </w:rPr>
      </w:r>
    </w:p>
    <w:p w:rsidR="00000000" w:rsidDel="00000000" w:rsidP="00000000" w:rsidRDefault="00000000" w:rsidRPr="00000000" w14:paraId="0000003F">
      <w:pPr>
        <w:pageBreakBefore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1"/>
        <w:tblW w:w="904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5295"/>
        <w:tblGridChange w:id="0">
          <w:tblGrid>
            <w:gridCol w:w="3750"/>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 Communication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CPUC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CEC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Downloads packaged with step-by-step validation examples, calculations, and alternative energy scenarios</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Interested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packages showing expected growth and development throughout CA</w:t>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Tracking data on DER deployment and 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Associated Service Providers (e.g. Sunrun, Calpine Energy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Outreach emphasizing data sharing platform</w:t>
            </w:r>
          </w:p>
          <w:p w:rsidR="00000000" w:rsidDel="00000000" w:rsidP="00000000" w:rsidRDefault="00000000" w:rsidRPr="00000000" w14:paraId="0000004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Newsletters about use-case development 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Utilities (IOUs, CCAs, Municipals)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Promotion of data sharing</w:t>
            </w:r>
          </w:p>
          <w:p w:rsidR="00000000" w:rsidDel="00000000" w:rsidP="00000000" w:rsidRDefault="00000000" w:rsidRPr="00000000" w14:paraId="0000004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Utility of higher quality data and increased availability</w:t>
            </w:r>
          </w:p>
          <w:p w:rsidR="00000000" w:rsidDel="00000000" w:rsidP="00000000" w:rsidRDefault="00000000" w:rsidRPr="00000000" w14:paraId="0000004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Demonstrations of other regional adoptions and impacts</w:t>
            </w:r>
          </w:p>
        </w:tc>
      </w:tr>
    </w:tbl>
    <w:p w:rsidR="00000000" w:rsidDel="00000000" w:rsidP="00000000" w:rsidRDefault="00000000" w:rsidRPr="00000000" w14:paraId="00000050">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Knowledge Transfer Process</w:t>
      </w:r>
    </w:p>
    <w:p w:rsidR="00000000" w:rsidDel="00000000" w:rsidP="00000000" w:rsidRDefault="00000000" w:rsidRPr="00000000" w14:paraId="00000052">
      <w:pPr>
        <w:pageBreakBefore w:val="0"/>
        <w:numPr>
          <w:ilvl w:val="1"/>
          <w:numId w:val="3"/>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Messages</w:t>
      </w:r>
      <w:r w:rsidDel="00000000" w:rsidR="00000000" w:rsidRPr="00000000">
        <w:rPr>
          <w:rtl w:val="0"/>
        </w:rPr>
      </w:r>
    </w:p>
    <w:p w:rsidR="00000000" w:rsidDel="00000000" w:rsidP="00000000" w:rsidRDefault="00000000" w:rsidRPr="00000000" w14:paraId="0000005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messages for the GridLAB-D process include: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program will lower the barrier to entry for GridLAB-D and help to improve the power of the platform by integrating new features to improve data access and simulation speed.</w:t>
      </w:r>
    </w:p>
    <w:p w:rsidR="00000000" w:rsidDel="00000000" w:rsidP="00000000" w:rsidRDefault="00000000" w:rsidRPr="00000000" w14:paraId="00000056">
      <w:pPr>
        <w:pageBreakBefore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GridLAB-D is intended to continue to drive the conversation about data, accessibility, and the democratization of modeling using California as a preview for a larger rollout at national and potentially international scale.</w:t>
      </w:r>
    </w:p>
    <w:p w:rsidR="00000000" w:rsidDel="00000000" w:rsidP="00000000" w:rsidRDefault="00000000" w:rsidRPr="00000000" w14:paraId="00000057">
      <w:pPr>
        <w:pageBreakBefore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GridLAB-D will provide another avenue to validate grid development plans and the associated integrated resource planning processes.</w:t>
      </w:r>
      <w:r w:rsidDel="00000000" w:rsidR="00000000" w:rsidRPr="00000000">
        <w:rPr>
          <w:rtl w:val="0"/>
        </w:rPr>
      </w:r>
    </w:p>
    <w:p w:rsidR="00000000" w:rsidDel="00000000" w:rsidP="00000000" w:rsidRDefault="00000000" w:rsidRPr="00000000" w14:paraId="00000058">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projects are intended to future-proof the GridLAB-D platform by evaluating the current needs and anticipate the future use cases of users and deploying features that ensure GridLAB-D will continue to be the best tool for the job.</w:t>
      </w:r>
      <w:r w:rsidDel="00000000" w:rsidR="00000000" w:rsidRPr="00000000">
        <w:rPr>
          <w:rtl w:val="0"/>
        </w:rPr>
      </w:r>
    </w:p>
    <w:p w:rsidR="00000000" w:rsidDel="00000000" w:rsidP="00000000" w:rsidRDefault="00000000" w:rsidRPr="00000000" w14:paraId="0000005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deliver these messages, the program’s knowledge transfer process will:</w:t>
      </w:r>
    </w:p>
    <w:p w:rsidR="00000000" w:rsidDel="00000000" w:rsidP="00000000" w:rsidRDefault="00000000" w:rsidRPr="00000000" w14:paraId="0000005B">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newly developed features are announced and easily visible through websites, newsletters, and introductory features in GridLAB-D</w:t>
      </w:r>
    </w:p>
    <w:p w:rsidR="00000000" w:rsidDel="00000000" w:rsidP="00000000" w:rsidRDefault="00000000" w:rsidRPr="00000000" w14:paraId="0000005C">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invested stakeholders on key milestones through announcements through major channels (website updates, newsletters, etc)</w:t>
      </w:r>
      <w:r w:rsidDel="00000000" w:rsidR="00000000" w:rsidRPr="00000000">
        <w:rPr>
          <w:rtl w:val="0"/>
        </w:rPr>
      </w:r>
    </w:p>
    <w:p w:rsidR="00000000" w:rsidDel="00000000" w:rsidP="00000000" w:rsidRDefault="00000000" w:rsidRPr="00000000" w14:paraId="0000005D">
      <w:pPr>
        <w:pageBreakBefore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intuitive updates and access to news within the GridLAB-D environment</w:t>
      </w:r>
      <w:r w:rsidDel="00000000" w:rsidR="00000000" w:rsidRPr="00000000">
        <w:rPr>
          <w:rtl w:val="0"/>
        </w:rPr>
      </w:r>
    </w:p>
    <w:p w:rsidR="00000000" w:rsidDel="00000000" w:rsidP="00000000" w:rsidRDefault="00000000" w:rsidRPr="00000000" w14:paraId="0000005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numPr>
          <w:ilvl w:val="1"/>
          <w:numId w:val="3"/>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Knowledge Transfer Products</w:t>
      </w:r>
    </w:p>
    <w:p w:rsidR="00000000" w:rsidDel="00000000" w:rsidP="00000000" w:rsidRDefault="00000000" w:rsidRPr="00000000" w14:paraId="0000006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products will be developed by the various project teams to support the transfer of knowledge. All products prepared for public dissemination will include the CEC’s Legal Notice Requirement</w:t>
      </w:r>
    </w:p>
    <w:p w:rsidR="00000000" w:rsidDel="00000000" w:rsidP="00000000" w:rsidRDefault="00000000" w:rsidRPr="00000000" w14:paraId="00000061">
      <w:pPr>
        <w:pageBreakBefore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Draft and Final Initial Project Fact Sheets - </w:t>
      </w:r>
      <w:r w:rsidDel="00000000" w:rsidR="00000000" w:rsidRPr="00000000">
        <w:rPr>
          <w:rFonts w:ascii="Times New Roman" w:cs="Times New Roman" w:eastAsia="Times New Roman" w:hAnsi="Times New Roman"/>
          <w:i w:val="1"/>
          <w:sz w:val="24"/>
          <w:szCs w:val="24"/>
          <w:rtl w:val="0"/>
        </w:rPr>
        <w:t xml:space="preserve">Complete</w:t>
      </w:r>
    </w:p>
    <w:p w:rsidR="00000000" w:rsidDel="00000000" w:rsidP="00000000" w:rsidRDefault="00000000" w:rsidRPr="00000000" w14:paraId="00000062">
      <w:pPr>
        <w:pageBreakBefore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Draft Final Project Fact Sheet - </w:t>
      </w:r>
      <w:r w:rsidDel="00000000" w:rsidR="00000000" w:rsidRPr="00000000">
        <w:rPr>
          <w:rFonts w:ascii="Times New Roman" w:cs="Times New Roman" w:eastAsia="Times New Roman" w:hAnsi="Times New Roman"/>
          <w:i w:val="1"/>
          <w:sz w:val="24"/>
          <w:szCs w:val="24"/>
          <w:rtl w:val="0"/>
        </w:rPr>
        <w:t xml:space="preserve">Complete</w:t>
      </w:r>
      <w:r w:rsidDel="00000000" w:rsidR="00000000" w:rsidRPr="00000000">
        <w:rPr>
          <w:rtl w:val="0"/>
        </w:rPr>
      </w:r>
    </w:p>
    <w:p w:rsidR="00000000" w:rsidDel="00000000" w:rsidP="00000000" w:rsidRDefault="00000000" w:rsidRPr="00000000" w14:paraId="00000063">
      <w:pPr>
        <w:pageBreakBefore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Project Fact Sheet - </w:t>
      </w:r>
      <w:r w:rsidDel="00000000" w:rsidR="00000000" w:rsidRPr="00000000">
        <w:rPr>
          <w:rFonts w:ascii="Times New Roman" w:cs="Times New Roman" w:eastAsia="Times New Roman" w:hAnsi="Times New Roman"/>
          <w:i w:val="1"/>
          <w:sz w:val="24"/>
          <w:szCs w:val="24"/>
          <w:rtl w:val="0"/>
        </w:rPr>
        <w:t xml:space="preserve">Complete</w:t>
      </w:r>
      <w:r w:rsidDel="00000000" w:rsidR="00000000" w:rsidRPr="00000000">
        <w:rPr>
          <w:rtl w:val="0"/>
        </w:rPr>
      </w:r>
    </w:p>
    <w:p w:rsidR="00000000" w:rsidDel="00000000" w:rsidP="00000000" w:rsidRDefault="00000000" w:rsidRPr="00000000" w14:paraId="00000064">
      <w:pPr>
        <w:pageBreakBefore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Draft Presentation Materials</w:t>
      </w:r>
    </w:p>
    <w:p w:rsidR="00000000" w:rsidDel="00000000" w:rsidP="00000000" w:rsidRDefault="00000000" w:rsidRPr="00000000" w14:paraId="00000065">
      <w:pPr>
        <w:pageBreakBefore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Presentation Materials</w:t>
      </w:r>
    </w:p>
    <w:p w:rsidR="00000000" w:rsidDel="00000000" w:rsidP="00000000" w:rsidRDefault="00000000" w:rsidRPr="00000000" w14:paraId="00000066">
      <w:pPr>
        <w:pageBreakBefore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Draft Knowledge Transfer Plan - </w:t>
      </w:r>
      <w:r w:rsidDel="00000000" w:rsidR="00000000" w:rsidRPr="00000000">
        <w:rPr>
          <w:rFonts w:ascii="Times New Roman" w:cs="Times New Roman" w:eastAsia="Times New Roman" w:hAnsi="Times New Roman"/>
          <w:i w:val="1"/>
          <w:sz w:val="24"/>
          <w:szCs w:val="24"/>
          <w:rtl w:val="0"/>
        </w:rPr>
        <w:t xml:space="preserve">Complete</w:t>
      </w:r>
      <w:r w:rsidDel="00000000" w:rsidR="00000000" w:rsidRPr="00000000">
        <w:rPr>
          <w:rtl w:val="0"/>
        </w:rPr>
      </w:r>
    </w:p>
    <w:p w:rsidR="00000000" w:rsidDel="00000000" w:rsidP="00000000" w:rsidRDefault="00000000" w:rsidRPr="00000000" w14:paraId="00000067">
      <w:pPr>
        <w:pageBreakBefore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Knowledge Transfer Plan</w:t>
      </w:r>
    </w:p>
    <w:p w:rsidR="00000000" w:rsidDel="00000000" w:rsidP="00000000" w:rsidRDefault="00000000" w:rsidRPr="00000000" w14:paraId="00000068">
      <w:pPr>
        <w:pageBreakBefore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Draft Knowledge Transfer Report</w:t>
      </w:r>
    </w:p>
    <w:p w:rsidR="00000000" w:rsidDel="00000000" w:rsidP="00000000" w:rsidRDefault="00000000" w:rsidRPr="00000000" w14:paraId="00000069">
      <w:pPr>
        <w:pageBreakBefore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Knowledge Transfer Report</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A">
      <w:pPr>
        <w:pageBreakBefore w:val="0"/>
        <w:numPr>
          <w:ilvl w:val="1"/>
          <w:numId w:val="3"/>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Activities</w:t>
      </w:r>
      <w:r w:rsidDel="00000000" w:rsidR="00000000" w:rsidRPr="00000000">
        <w:rPr>
          <w:rtl w:val="0"/>
        </w:rPr>
      </w:r>
    </w:p>
    <w:p w:rsidR="00000000" w:rsidDel="00000000" w:rsidP="00000000" w:rsidRDefault="00000000" w:rsidRPr="00000000" w14:paraId="0000006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transfer activities will occur from Q4 2018 to Q1 2023, with reporting on activities from Q2 2019 to Q4 2023. The following chart maps out an approximate timeline for knowledge transfer initiatives:</w:t>
      </w:r>
      <w:r w:rsidDel="00000000" w:rsidR="00000000" w:rsidRPr="00000000">
        <w:rPr>
          <w:rtl w:val="0"/>
        </w:rPr>
      </w:r>
    </w:p>
    <w:p w:rsidR="00000000" w:rsidDel="00000000" w:rsidP="00000000" w:rsidRDefault="00000000" w:rsidRPr="00000000" w14:paraId="0000006C">
      <w:pPr>
        <w:pageBreakBefore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215.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95"/>
        <w:gridCol w:w="765"/>
        <w:gridCol w:w="765"/>
        <w:gridCol w:w="765"/>
        <w:gridCol w:w="765"/>
        <w:gridCol w:w="765"/>
        <w:gridCol w:w="765"/>
        <w:gridCol w:w="765"/>
        <w:gridCol w:w="765"/>
        <w:gridCol w:w="765"/>
        <w:gridCol w:w="765"/>
        <w:tblGridChange w:id="0">
          <w:tblGrid>
            <w:gridCol w:w="1770"/>
            <w:gridCol w:w="795"/>
            <w:gridCol w:w="765"/>
            <w:gridCol w:w="765"/>
            <w:gridCol w:w="765"/>
            <w:gridCol w:w="765"/>
            <w:gridCol w:w="765"/>
            <w:gridCol w:w="765"/>
            <w:gridCol w:w="765"/>
            <w:gridCol w:w="765"/>
            <w:gridCol w:w="765"/>
            <w:gridCol w:w="7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2018</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2018</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2019</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2019</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2019</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2019</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2020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2020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2020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2020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Outreach</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Engagement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2021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2021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2021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2022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2022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2022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2022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2023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2023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2023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Outreach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Development and Publication, Audiences, Implementers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Implementer/Partner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Advisory Committee Notes/Updates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 members, general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GridLAB-D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public, technically interested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SLAC, Hitachi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Release(s)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especially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and local regulators,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SLAC, Hitachi, assistance from Gridworks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CEC, CPUC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SLAC, Hitachi, Gridworks</w:t>
            </w:r>
          </w:p>
        </w:tc>
      </w:tr>
    </w:tbl>
    <w:p w:rsidR="00000000" w:rsidDel="00000000" w:rsidP="00000000" w:rsidRDefault="00000000" w:rsidRPr="00000000" w14:paraId="000000F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 Development</w:t>
      </w:r>
      <w:r w:rsidDel="00000000" w:rsidR="00000000" w:rsidRPr="00000000">
        <w:rPr>
          <w:rtl w:val="0"/>
        </w:rPr>
      </w:r>
    </w:p>
    <w:p w:rsidR="00000000" w:rsidDel="00000000" w:rsidP="00000000" w:rsidRDefault="00000000" w:rsidRPr="00000000" w14:paraId="0000010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GridLAB-D has three major projects that focus on use case development with significant potential policy implications. A brief outline of these projects, use cases, and potential policy implications is included.</w:t>
      </w:r>
    </w:p>
    <w:p w:rsidR="00000000" w:rsidDel="00000000" w:rsidP="00000000" w:rsidRDefault="00000000" w:rsidRPr="00000000" w14:paraId="0000010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 Analytics for Distributed Energy Resources (VADER) project is an excellent example of the work being done in this space with funding provided by the DOE’s ARPA-E program to focus on the issue of DER integration into a grid system that was not initially designed for this level of flexibility and two-way power flow. GridLAB-D and VADER are able to accomplish this by integrating a real-time data flow that includes an array of non-SCADA sources.</w:t>
      </w:r>
    </w:p>
    <w:p w:rsidR="00000000" w:rsidDel="00000000" w:rsidP="00000000" w:rsidRDefault="00000000" w:rsidRPr="00000000" w14:paraId="0000010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PowerNET and PowerNET with Markets are similar projects funded at the national (DOE) and state (California Energy Commission) level with the goal to provide a simulated estimate of control systems impact on the grid. This project has the potential to add improvements in the implementation of demand response, DER performance impacts, and impacts on cost/revenue.</w:t>
      </w:r>
    </w:p>
    <w:p w:rsidR="00000000" w:rsidDel="00000000" w:rsidP="00000000" w:rsidRDefault="00000000" w:rsidRPr="00000000" w14:paraId="0000010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Grid Resilience Intelligence Project (GRIP) is another project emphasizing mitigation and evaluation on grid issues by providing real-time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feedback on absorption capabilities within the existing grid. With ongoing environmental degradation the risk to existing infrastructure continues to grow. Resilience, redundancy, and absorption are key aspects of ensuring the provision of safe and affordable service.</w:t>
      </w:r>
    </w:p>
    <w:p w:rsidR="00000000" w:rsidDel="00000000" w:rsidP="00000000" w:rsidRDefault="00000000" w:rsidRPr="00000000" w14:paraId="0000010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in time the GridLAB-D team is not aware of any citations of these initiatives in government policy publications. After greater progress has been made in developing GridLAB-D, we ex</w:t>
      </w:r>
      <w:r w:rsidDel="00000000" w:rsidR="00000000" w:rsidRPr="00000000">
        <w:rPr>
          <w:rFonts w:ascii="Times New Roman" w:cs="Times New Roman" w:eastAsia="Times New Roman" w:hAnsi="Times New Roman"/>
          <w:sz w:val="24"/>
          <w:szCs w:val="24"/>
          <w:rtl w:val="0"/>
        </w:rPr>
        <w:t xml:space="preserve">pect that GridLAB-D will develop as a more widely utilized solution for tackling policy questions on a broader scale. The utility of independent confirmation and analysis will be a powerful benefit for a variety of actors.</w:t>
      </w:r>
    </w:p>
    <w:p w:rsidR="00000000" w:rsidDel="00000000" w:rsidP="00000000" w:rsidRDefault="00000000" w:rsidRPr="00000000" w14:paraId="0000010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we expect that GridLAB-D will help to inform policy decisions through the CEC and CPUC by providing an additional avenue to substantiate the analysis done by IOUs concerning concerning IRP processes and other areas. Providing in-house analysis on claims made by the IOUs, the CEC will be in a position to better serve the people of California. This will likely be one of the most immediate and direct impacts at the conclusion of the GridLAB-D project. With the CEC leading by example we would also expect GridLAB-D to gain traction with other organizations focusing on understanding local grid conditions and providing a greater level of adaptation.</w:t>
      </w:r>
    </w:p>
    <w:p w:rsidR="00000000" w:rsidDel="00000000" w:rsidP="00000000" w:rsidRDefault="00000000" w:rsidRPr="00000000" w14:paraId="0000010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 usage of the GridLAB-D platform by other interested parties may serve to provide novel insights into the development of the grid or encourage the adoption of more localized solutions in the support and deployment of DER. Providing a platform where everyone has access to the same information about local, regional, and larger conditions is an opportunity to drive larger conversations about the role of energy and development within communities.</w:t>
      </w:r>
    </w:p>
    <w:p w:rsidR="00000000" w:rsidDel="00000000" w:rsidP="00000000" w:rsidRDefault="00000000" w:rsidRPr="00000000" w14:paraId="0000010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Reporting</w:t>
      </w:r>
      <w:r w:rsidDel="00000000" w:rsidR="00000000" w:rsidRPr="00000000">
        <w:rPr>
          <w:rtl w:val="0"/>
        </w:rPr>
      </w:r>
    </w:p>
    <w:p w:rsidR="00000000" w:rsidDel="00000000" w:rsidP="00000000" w:rsidRDefault="00000000" w:rsidRPr="00000000" w14:paraId="0000010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Knowledge Transfer Plan has been implemented the corresponding activities will be reported in the Knowledge Transfer Report. Implementers and partners will track metrics that provide a framework to measure the success of the plan and the overall uptake or interest in the initiatives and GridLAB-D program. Metrics may include: downloads, newsletter sign ups, inquiries received, </w:t>
      </w:r>
      <w:r w:rsidDel="00000000" w:rsidR="00000000" w:rsidRPr="00000000">
        <w:rPr>
          <w:rFonts w:ascii="Times New Roman" w:cs="Times New Roman" w:eastAsia="Times New Roman" w:hAnsi="Times New Roman"/>
          <w:sz w:val="24"/>
          <w:szCs w:val="24"/>
          <w:rtl w:val="0"/>
        </w:rPr>
        <w:t xml:space="preserve">the number of Technical Advisory Committee members, the number of participants in the Technical Advisory Committee, and the number of people receiving newsletters. </w:t>
      </w:r>
    </w:p>
    <w:p w:rsidR="00000000" w:rsidDel="00000000" w:rsidP="00000000" w:rsidRDefault="00000000" w:rsidRPr="00000000" w14:paraId="0000011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Deploying training sessions, available in-person or online, provides another opportunity to evaluate interest and uptake. In-person courses or webinars allow for following up with participants on their needs and why they are seeking out GridLAB-D as a solution. </w:t>
      </w:r>
    </w:p>
    <w:p w:rsidR="00000000" w:rsidDel="00000000" w:rsidP="00000000" w:rsidRDefault="00000000" w:rsidRPr="00000000" w14:paraId="0000011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metrics outlined above provide insight into the accessibility and direct outreach on the behalf of GridLAB-D. Beyond the hard metrics outlining downloads and visibility, there are other ways that the GridLAB-D project will be considered a success. Seeing greater engagement in public meetings, working groups, and other areas where IOUs are often the only source of future modeling on grid conditions provides an opportunity to push back against the ingrained assumptions in these models. On a longer time horizon, GridLAB-D may provide a way for a form of distribution leapfrog - with other states, regions, or even countries learning lessons from early adopts like California and being able to avoid repeating the missteps along the way to a resilient grid.</w:t>
      </w:r>
    </w:p>
    <w:p w:rsidR="00000000" w:rsidDel="00000000" w:rsidP="00000000" w:rsidRDefault="00000000" w:rsidRPr="00000000" w14:paraId="0000011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numbers will be updated and available through avenues including ongoing status reports, web publications, and informational newsletters. Many of these avenues also provide an opportunity to highlight additional usage of GridLAB-D in other regions and novel use cases.</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