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!-- discovery/brand/design.md@v1 -->
<w:document xmlns:w="http://schemas.openxmlformats.org/wordprocessingml/2006/main">
  <w:body>
    <w:p>
      <w:r>
        <w:rPr>
          <w:rFonts w:ascii="Georgia" w:hAnsi="Georgia"/>
          <w:b/>
          <w:color w:val="5B2A86"/>
          <w:sz w:val="40"/>
        </w:rPr>
        <w:t xml:space="preserve">Consent-lifecycle hygiene — delivery hand-off</w:t>
      </w:r>
    </w:p>
    <w:p>
      <w:r>
        <w:rPr>
          <w:rFonts w:ascii="Georgia" w:hAnsi="Georgia"/>
          <w:color w:val="6B5E70"/>
          <w:sz w:val="24"/>
        </w:rPr>
        <w:t xml:space="preserve">Discovery run · consent-lifecycle-hygiene · synthetic data, non-production</w:t>
      </w:r>
    </w:p>
    <w:p>
      <w:r>
        <w:rPr>
          <w:rFonts w:ascii="Georgia" w:hAnsi="Georgia"/>
          <w:b/>
          <w:color w:val="5B2A86"/>
          <w:sz w:val="28"/>
        </w:rPr>
        <w:t xml:space="preserve">Problem</w:t>
      </w:r>
    </w:p>
    <w:p>
      <w:r>
        <w:rPr>
          <w:rFonts w:ascii="Georgia" w:hAnsi="Georgia"/>
          <w:color w:val="1E1320"/>
          <w:sz w:val="22"/>
        </w:rPr>
        <w:t xml:space="preserve">For a consent operations analyst who must ensure every PSU withdrawal is honoured and acknowledged within the bank's 5s default, revoke acknowledgement latency and lifecycle-state drift are invisible until a customer complains.</w:t>
      </w:r>
    </w:p>
    <w:p>
      <w:r>
        <w:rPr>
          <w:rFonts w:ascii="Georgia" w:hAnsi="Georgia"/>
          <w:color w:val="1E1320"/>
          <w:sz w:val="22"/>
        </w:rPr>
        <w:t xml:space="preserve">This causes silent SLA breaches, stale-state errors in care handling, and no audit-ready proof of timely withdrawal.</w:t>
      </w:r>
    </w:p>
    <w:p>
      <w:r>
        <w:rPr>
          <w:rFonts w:ascii="Georgia" w:hAnsi="Georgia"/>
          <w:b/>
          <w:color w:val="5B2A86"/>
          <w:sz w:val="28"/>
        </w:rPr>
        <w:t xml:space="preserve">Success measures</w:t>
      </w:r>
    </w:p>
    <w:tbl>
      <w:tblPr>
        <w:tblW w:w="0" w:type="auto"/>
        <w:tblBorders>
          <w:top w:val="single" w:sz="4" w:color="E7DEEC"/>
          <w:bottom w:val="single" w:sz="4" w:color="E7DEEC"/>
          <w:insideH w:val="single" w:sz="4" w:color="E7DEEC"/>
          <w:insideV w:val="single" w:sz="4" w:color="E7DEEC"/>
        </w:tblBorders>
      </w:tblPr>
      <w:tr>
        <w:tc>
          <w:tcPr>
            <w:tcW w:w="0" w:type="auto"/>
            <w:shd w:val="clear" w:fill="5B2A86"/>
            <w:tcBorders>
              <w:top w:val="single" w:sz="4" w:color="E7DEEC"/>
              <w:bottom w:val="single" w:sz="4" w:color="E7DEEC"/>
              <w:left w:val="single" w:sz="4" w:color="E7DEEC"/>
              <w:right w:val="single" w:sz="4" w:color="E7DEEC"/>
            </w:tcBorders>
          </w:tcPr>
          <w:p>
            <w:r>
              <w:rPr>
                <w:rFonts w:ascii="Georgia" w:hAnsi="Georgia"/>
                <w:b/>
                <w:color w:val="FFFFFF"/>
                <w:sz w:val="20"/>
              </w:rPr>
              <w:t xml:space="preserve">Measure</w:t>
            </w:r>
          </w:p>
        </w:tc>
        <w:tc>
          <w:tcPr>
            <w:tcW w:w="0" w:type="auto"/>
            <w:shd w:val="clear" w:fill="5B2A86"/>
            <w:tcBorders>
              <w:top w:val="single" w:sz="4" w:color="E7DEEC"/>
              <w:bottom w:val="single" w:sz="4" w:color="E7DEEC"/>
              <w:left w:val="single" w:sz="4" w:color="E7DEEC"/>
              <w:right w:val="single" w:sz="4" w:color="E7DEEC"/>
            </w:tcBorders>
          </w:tcPr>
          <w:p>
            <w:r>
              <w:rPr>
                <w:rFonts w:ascii="Georgia" w:hAnsi="Georgia"/>
                <w:b/>
                <w:color w:val="FFFFFF"/>
                <w:sz w:val="20"/>
              </w:rPr>
              <w:t xml:space="preserve">Baseline</w:t>
            </w:r>
          </w:p>
        </w:tc>
        <w:tc>
          <w:tcPr>
            <w:tcW w:w="0" w:type="auto"/>
            <w:shd w:val="clear" w:fill="5B2A86"/>
            <w:tcBorders>
              <w:top w:val="single" w:sz="4" w:color="E7DEEC"/>
              <w:bottom w:val="single" w:sz="4" w:color="E7DEEC"/>
              <w:left w:val="single" w:sz="4" w:color="E7DEEC"/>
              <w:right w:val="single" w:sz="4" w:color="E7DEEC"/>
            </w:tcBorders>
          </w:tcPr>
          <w:p>
            <w:r>
              <w:rPr>
                <w:rFonts w:ascii="Georgia" w:hAnsi="Georgia"/>
                <w:b/>
                <w:color w:val="FFFFFF"/>
                <w:sz w:val="20"/>
              </w:rPr>
              <w:t xml:space="preserve">Target</w:t>
            </w:r>
          </w:p>
        </w:tc>
      </w:tr>
      <w:tr>
        <w:tc>
          <w:tcPr>
            <w:tcW w:w="0" w:type="auto"/>
            <w:tcBorders>
              <w:top w:val="single" w:sz="4" w:color="E7DEEC"/>
              <w:bottom w:val="single" w:sz="4" w:color="E7DEEC"/>
              <w:left w:val="single" w:sz="4" w:color="E7DEEC"/>
              <w:right w:val="single" w:sz="4" w:color="E7DEEC"/>
            </w:tcBorders>
          </w:tcPr>
          <w:p>
            <w:r>
              <w:rPr>
                <w:rFonts w:ascii="Georgia" w:hAnsi="Georgia"/>
                <w:color w:val="1E1320"/>
                <w:sz w:val="20"/>
              </w:rPr>
              <w:t xml:space="preserve">Revoke acks within SLA, visible</w:t>
            </w:r>
          </w:p>
        </w:tc>
        <w:tc>
          <w:tcPr>
            <w:tcW w:w="0" w:type="auto"/>
            <w:tcBorders>
              <w:top w:val="single" w:sz="4" w:color="E7DEEC"/>
              <w:bottom w:val="single" w:sz="4" w:color="E7DEEC"/>
              <w:left w:val="single" w:sz="4" w:color="E7DEEC"/>
              <w:right w:val="single" w:sz="4" w:color="E7DEEC"/>
            </w:tcBorders>
          </w:tcPr>
          <w:p>
            <w:r>
              <w:rPr>
                <w:rFonts w:ascii="Georgia" w:hAnsi="Georgia"/>
                <w:color w:val="1E1320"/>
                <w:sz w:val="20"/>
              </w:rPr>
              <w:t xml:space="preserve">p50 9.4s, unobserved</w:t>
            </w:r>
          </w:p>
        </w:tc>
        <w:tc>
          <w:tcPr>
            <w:tcW w:w="0" w:type="auto"/>
            <w:tcBorders>
              <w:top w:val="single" w:sz="4" w:color="E7DEEC"/>
              <w:bottom w:val="single" w:sz="4" w:color="E7DEEC"/>
              <w:left w:val="single" w:sz="4" w:color="E7DEEC"/>
              <w:right w:val="single" w:sz="4" w:color="E7DEEC"/>
            </w:tcBorders>
          </w:tcPr>
          <w:p>
            <w:r>
              <w:rPr>
                <w:rFonts w:ascii="Georgia" w:hAnsi="Georgia"/>
                <w:color w:val="1E1320"/>
                <w:sz w:val="20"/>
              </w:rPr>
              <w:t xml:space="preserve">within 5s and observable</w:t>
            </w:r>
          </w:p>
        </w:tc>
      </w:tr>
      <w:tr>
        <w:tc>
          <w:tcPr>
            <w:tcW w:w="0" w:type="auto"/>
            <w:tcBorders>
              <w:top w:val="single" w:sz="4" w:color="E7DEEC"/>
              <w:bottom w:val="single" w:sz="4" w:color="E7DEEC"/>
              <w:left w:val="single" w:sz="4" w:color="E7DEEC"/>
              <w:right w:val="single" w:sz="4" w:color="E7DEEC"/>
            </w:tcBorders>
          </w:tcPr>
          <w:p>
            <w:r>
              <w:rPr>
                <w:rFonts w:ascii="Georgia" w:hAnsi="Georgia"/>
                <w:color w:val="1E1320"/>
                <w:sz w:val="20"/>
              </w:rPr>
              <w:t xml:space="preserve">Time-to-detect lifecycle drift</w:t>
            </w:r>
          </w:p>
        </w:tc>
        <w:tc>
          <w:tcPr>
            <w:tcW w:w="0" w:type="auto"/>
            <w:tcBorders>
              <w:top w:val="single" w:sz="4" w:color="E7DEEC"/>
              <w:bottom w:val="single" w:sz="4" w:color="E7DEEC"/>
              <w:left w:val="single" w:sz="4" w:color="E7DEEC"/>
              <w:right w:val="single" w:sz="4" w:color="E7DEEC"/>
            </w:tcBorders>
          </w:tcPr>
          <w:p>
            <w:r>
              <w:rPr>
                <w:rFonts w:ascii="Georgia" w:hAnsi="Georgia"/>
                <w:color w:val="1E1320"/>
                <w:sz w:val="20"/>
              </w:rPr>
              <w:t xml:space="preserve">only on complaint</w:t>
            </w:r>
          </w:p>
        </w:tc>
        <w:tc>
          <w:tcPr>
            <w:tcW w:w="0" w:type="auto"/>
            <w:tcBorders>
              <w:top w:val="single" w:sz="4" w:color="E7DEEC"/>
              <w:bottom w:val="single" w:sz="4" w:color="E7DEEC"/>
              <w:left w:val="single" w:sz="4" w:color="E7DEEC"/>
              <w:right w:val="single" w:sz="4" w:color="E7DEEC"/>
            </w:tcBorders>
          </w:tcPr>
          <w:p>
            <w:r>
              <w:rPr>
                <w:rFonts w:ascii="Georgia" w:hAnsi="Georgia"/>
                <w:color w:val="1E1320"/>
                <w:sz w:val="20"/>
              </w:rPr>
              <w:t xml:space="preserve">before the customer notices</w:t>
            </w:r>
          </w:p>
        </w:tc>
      </w:tr>
      <w:tr>
        <w:tc>
          <w:tcPr>
            <w:tcW w:w="0" w:type="auto"/>
            <w:tcBorders>
              <w:top w:val="single" w:sz="4" w:color="E7DEEC"/>
              <w:bottom w:val="single" w:sz="4" w:color="E7DEEC"/>
              <w:left w:val="single" w:sz="4" w:color="E7DEEC"/>
              <w:right w:val="single" w:sz="4" w:color="E7DEEC"/>
            </w:tcBorders>
          </w:tcPr>
          <w:p>
            <w:r>
              <w:rPr>
                <w:rFonts w:ascii="Georgia" w:hAnsi="Georgia"/>
                <w:color w:val="1E1320"/>
                <w:sz w:val="20"/>
              </w:rPr>
              <w:t xml:space="preserve">Audit evidence of timely withdrawal</w:t>
            </w:r>
          </w:p>
        </w:tc>
        <w:tc>
          <w:tcPr>
            <w:tcW w:w="0" w:type="auto"/>
            <w:tcBorders>
              <w:top w:val="single" w:sz="4" w:color="E7DEEC"/>
              <w:bottom w:val="single" w:sz="4" w:color="E7DEEC"/>
              <w:left w:val="single" w:sz="4" w:color="E7DEEC"/>
              <w:right w:val="single" w:sz="4" w:color="E7DEEC"/>
            </w:tcBorders>
          </w:tcPr>
          <w:p>
            <w:r>
              <w:rPr>
                <w:rFonts w:ascii="Georgia" w:hAnsi="Georgia"/>
                <w:color w:val="1E1320"/>
                <w:sz w:val="20"/>
              </w:rPr>
              <w:t xml:space="preserve">reconstructed manually</w:t>
            </w:r>
          </w:p>
        </w:tc>
        <w:tc>
          <w:tcPr>
            <w:tcW w:w="0" w:type="auto"/>
            <w:tcBorders>
              <w:top w:val="single" w:sz="4" w:color="E7DEEC"/>
              <w:bottom w:val="single" w:sz="4" w:color="E7DEEC"/>
              <w:left w:val="single" w:sz="4" w:color="E7DEEC"/>
              <w:right w:val="single" w:sz="4" w:color="E7DEEC"/>
            </w:tcBorders>
          </w:tcPr>
          <w:p>
            <w:r>
              <w:rPr>
                <w:rFonts w:ascii="Georgia" w:hAnsi="Georgia"/>
                <w:color w:val="1E1320"/>
                <w:sz w:val="20"/>
              </w:rPr>
              <w:t xml:space="preserve">available on demand</w:t>
            </w:r>
          </w:p>
        </w:tc>
      </w:tr>
    </w:tbl>
    <w:p>
      <w:r>
        <w:rPr>
          <w:rFonts w:ascii="Georgia" w:hAnsi="Georgia"/>
          <w:b/>
          <w:color w:val="5B2A86"/>
          <w:sz w:val="28"/>
        </w:rPr>
        <w:t xml:space="preserve">Data-governance position</w:t>
      </w:r>
    </w:p>
    <w:p>
      <w:r>
        <w:rPr>
          <w:rFonts w:ascii="Georgia" w:hAnsi="Georgia"/>
          <w:color w:val="1E1320"/>
          <w:sz w:val="22"/>
        </w:rPr>
        <w:t xml:space="preserve">Residual risk Low — conditional on read-only observability over consent metadata (DR-2.1; CTRL-DP-001/002/003; PDPL-15.2, PDPL-6.2).</w:t>
      </w:r>
    </w:p>
    <w:p>
      <w:r>
        <w:rPr>
          <w:rFonts w:ascii="Georgia" w:hAnsi="Georgia"/>
          <w:color w:val="1E1320"/>
          <w:sz w:val="22"/>
        </w:rPr>
        <w:t xml:space="preserve">• No consent content beyond lifecycle state and timestamps</w:t>
      </w:r>
    </w:p>
    <w:p>
      <w:r>
        <w:rPr>
          <w:rFonts w:ascii="Georgia" w:hAnsi="Georgia"/>
          <w:color w:val="1E1320"/>
          <w:sz w:val="22"/>
        </w:rPr>
        <w:t xml:space="preserve">• INSERT-only audit of evidence</w:t>
      </w:r>
    </w:p>
    <w:p>
      <w:r>
        <w:rPr>
          <w:rFonts w:ascii="Georgia" w:hAnsi="Georgia"/>
          <w:color w:val="1E1320"/>
          <w:sz w:val="22"/>
        </w:rPr>
        <w:t xml:space="preserve">• Hub-bound reads via the P6 egress port</w:t>
      </w:r>
    </w:p>
    <w:p>
      <w:r>
        <w:rPr>
          <w:rFonts w:ascii="Georgia" w:hAnsi="Georgia"/>
          <w:color w:val="1E1320"/>
          <w:sz w:val="22"/>
        </w:rPr>
        <w:t xml:space="preserve">• PII redaction at emission</w:t>
      </w:r>
    </w:p>
    <w:p>
      <w:r>
        <w:rPr>
          <w:rFonts w:ascii="Georgia" w:hAnsi="Georgia"/>
          <w:b/>
          <w:color w:val="5B2A86"/>
          <w:sz w:val="28"/>
        </w:rPr>
        <w:t xml:space="preserve">Direction (not specification)</w:t>
      </w:r>
    </w:p>
    <w:p>
      <w:r>
        <w:rPr>
          <w:rFonts w:ascii="Georgia" w:hAnsi="Georgia"/>
          <w:color w:val="1E1320"/>
          <w:sz w:val="22"/>
        </w:rPr>
        <w:t xml:space="preserve">A consent-lifecycle hygiene monitor makes timeliness and drift tangible. See wireframe.html — direction only; delivery authors the solution from scratch.</w:t>
      </w:r>
    </w:p>
    <w:p>
      <w:r>
        <w:rPr>
          <w:rFonts w:ascii="Georgia" w:hAnsi="Georgia"/>
          <w:color w:val="6B5E70"/>
          <w:sz w:val="20"/>
        </w:rPr>
        <w:t xml:space="preserve">Explicitly out of scope: the withdrawal flow itself, the PSU banking app, and bulk consent migration.</w:t>
      </w:r>
    </w:p>
    <w:sectPr>
      <w:pgSz w:w="11906" w:h="16838"/>
      <w:pgMar w:top="1134" w:right="1134" w:bottom="1134" w:left="1134"/>
    </w:sectPr>
  </w:body>
</w:document>
</file>

<file path=docProps/core.xml><?xml version="1.0" encoding="utf-8"?>
<cp:coreProperties xmlns:cp="http://schemas.openxmlformats.org/package/2006/metadata/core-properties" xmlns:dc="http://purl.org/dc/elements/1.1/">
  <dc:title>Consent-lifecycle hygiene — delivery hand-off</dc:title>
  <dc:description>discovery/brand/design.md@v1</dc:description>
</cp:coreProperties>
</file>