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!-- discovery/brand/design.md@v1 -->
<w:document xmlns:w="http://schemas.openxmlformats.org/wordprocessingml/2006/main">
  <w:body>
    <w:p>
      <w:r>
        <w:rPr>
          <w:rFonts w:ascii="Inter" w:hAnsi="Inter"/>
          <w:b/>
          <w:color w:val="1F4DB8"/>
          <w:sz w:val="40"/>
        </w:rPr>
        <w:t xml:space="preserve">Fee-variance reconciliation — delivery hand-off</w:t>
      </w:r>
    </w:p>
    <w:p>
      <w:r>
        <w:rPr>
          <w:rFonts w:ascii="Inter" w:hAnsi="Inter"/>
          <w:color w:val="5A6473"/>
          <w:sz w:val="24"/>
        </w:rPr>
        <w:t xml:space="preserve">Discovery run · fee-variance-reconciliation · synthetic data, non-production</w:t>
      </w:r>
    </w:p>
    <w:p>
      <w:r>
        <w:rPr>
          <w:rFonts w:ascii="Inter" w:hAnsi="Inter"/>
          <w:b/>
          <w:color w:val="1F4DB8"/>
          <w:sz w:val="28"/>
        </w:rPr>
        <w:t xml:space="preserve">Problem</w:t>
      </w:r>
    </w:p>
    <w:p>
      <w:r>
        <w:rPr>
          <w:rFonts w:ascii="Inter" w:hAnsi="Inter"/>
          <w:color w:val="0B1221"/>
          <w:sz w:val="22"/>
        </w:rPr>
        <w:t xml:space="preserve">For a reconciliation analyst who must ensure invoiced TPP fees match the contracted tariffs, fee variances are invisible until the month-end close and inconsistent across the ledger, the Hub invoice, and the contract.</w:t>
      </w:r>
    </w:p>
    <w:p>
      <w:r>
        <w:rPr>
          <w:rFonts w:ascii="Inter" w:hAnsi="Inter"/>
          <w:color w:val="0B1221"/>
          <w:sz w:val="22"/>
        </w:rPr>
        <w:t xml:space="preserve">This causes financial leakage that compounds for weeks, manual end-user-spreadsheet rework, and no lineage to evidence fee accuracy.</w:t>
      </w:r>
    </w:p>
    <w:p>
      <w:r>
        <w:rPr>
          <w:rFonts w:ascii="Inter" w:hAnsi="Inter"/>
          <w:b/>
          <w:color w:val="1F4DB8"/>
          <w:sz w:val="28"/>
        </w:rPr>
        <w:t xml:space="preserve">Success measures</w:t>
      </w:r>
    </w:p>
    <w:tbl>
      <w:tblPr>
        <w:tblW w:w="0" w:type="auto"/>
        <w:tblBorders>
          <w:top w:val="single" w:sz="4" w:color="E2E6EC"/>
          <w:bottom w:val="single" w:sz="4" w:color="E2E6EC"/>
          <w:insideH w:val="single" w:sz="4" w:color="E2E6EC"/>
          <w:insideV w:val="single" w:sz="4" w:color="E2E6EC"/>
        </w:tblBorders>
      </w:tblPr>
      <w:tr>
        <w:tc>
          <w:tcPr>
            <w:tcW w:w="0" w:type="auto"/>
            <w:shd w:val="clear" w:fill="1F4DB8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b/>
                <w:color w:val="FFFFFF"/>
                <w:sz w:val="20"/>
              </w:rPr>
              <w:t xml:space="preserve">Measure</w:t>
            </w:r>
          </w:p>
        </w:tc>
        <w:tc>
          <w:tcPr>
            <w:tcW w:w="0" w:type="auto"/>
            <w:shd w:val="clear" w:fill="1F4DB8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W w:w="0" w:type="auto"/>
            <w:shd w:val="clear" w:fill="1F4DB8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b/>
                <w:color w:val="FFFFFF"/>
                <w:sz w:val="20"/>
              </w:rPr>
              <w:t xml:space="preserve">Target</w:t>
            </w:r>
          </w:p>
        </w:tc>
      </w:tr>
      <w:tr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Time to detect a fee variance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month-end + 2 days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within a day of the invoice line</w:t>
            </w:r>
          </w:p>
        </w:tc>
      </w:tr>
      <w:tr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Consistency across systems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0 of 3 agree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one reconciled figure</w:t>
            </w:r>
          </w:p>
        </w:tc>
      </w:tr>
      <w:tr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Fee-accuracy lineage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manual reconstruction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available on demand</w:t>
            </w:r>
          </w:p>
        </w:tc>
      </w:tr>
    </w:tbl>
    <w:p>
      <w:r>
        <w:rPr>
          <w:rFonts w:ascii="Inter" w:hAnsi="Inter"/>
          <w:b/>
          <w:color w:val="1F4DB8"/>
          <w:sz w:val="28"/>
        </w:rPr>
        <w:t xml:space="preserve">Data-governance position (D6)</w:t>
      </w:r>
    </w:p>
    <w:p>
      <w:r>
        <w:rPr>
          <w:rFonts w:ascii="Inter" w:hAnsi="Inter"/>
          <w:color w:val="0B1221"/>
          <w:sz w:val="22"/>
        </w:rPr>
        <w:t xml:space="preserve">Residual risk Very Low, Conditional on read-only observability + reconciliation over commercial fee metadata. Maps to DR-1.1-003, DR-1.3-001, DR-1.4-001 with CTRL-DQ-003 / 006 / 012.</w:t>
      </w:r>
    </w:p>
    <w:p>
      <w:r>
        <w:rPr>
          <w:rFonts w:ascii="Inter" w:hAnsi="Inter"/>
          <w:color w:val="0B1221"/>
          <w:sz w:val="22"/>
        </w:rPr>
        <w:t xml:space="preserve">• Commercial data only — no PSU PII</w:t>
      </w:r>
    </w:p>
    <w:p>
      <w:r>
        <w:rPr>
          <w:rFonts w:ascii="Inter" w:hAnsi="Inter"/>
          <w:color w:val="0B1221"/>
          <w:sz w:val="22"/>
        </w:rPr>
        <w:t xml:space="preserve">• INSERT-only audit of reconciliation evidence</w:t>
      </w:r>
    </w:p>
    <w:p>
      <w:r>
        <w:rPr>
          <w:rFonts w:ascii="Inter" w:hAnsi="Inter"/>
          <w:color w:val="0B1221"/>
          <w:sz w:val="22"/>
        </w:rPr>
        <w:t xml:space="preserve">• BCBS 239 lineage emission to source</w:t>
      </w:r>
    </w:p>
    <w:p>
      <w:r>
        <w:rPr>
          <w:rFonts w:ascii="Inter" w:hAnsi="Inter"/>
          <w:color w:val="0B1221"/>
          <w:sz w:val="22"/>
        </w:rPr>
        <w:t xml:space="preserve">• Hub-bound reads via P6 egress</w:t>
      </w:r>
    </w:p>
    <w:p>
      <w:r>
        <w:rPr>
          <w:rFonts w:ascii="Inter" w:hAnsi="Inter"/>
          <w:b/>
          <w:color w:val="1F4DB8"/>
          <w:sz w:val="28"/>
        </w:rPr>
        <w:t xml:space="preserve">Direction (prototype, not specification)</w:t>
      </w:r>
    </w:p>
    <w:p>
      <w:r>
        <w:rPr>
          <w:rFonts w:ascii="Inter" w:hAnsi="Inter"/>
          <w:color w:val="0B1221"/>
          <w:sz w:val="22"/>
        </w:rPr>
        <w:t xml:space="preserve">A fee-variance reconciliation monitor: open variances per invoice line, one reconciled figure across systems, and accuracy lineage on demand.</w:t>
      </w:r>
    </w:p>
    <w:p>
      <w:r>
        <w:rPr>
          <w:rFonts w:ascii="Inter" w:hAnsi="Inter"/>
          <w:color w:val="5A6473"/>
          <w:sz w:val="20"/>
        </w:rPr>
        <w:t xml:space="preserve">The right diamond authors the solution from scratch against the delivery contract. This brief informs; it does not design.</w:t>
      </w:r>
    </w:p>
    <w:sectPr>
      <w:pgSz w:w="11906" w:h="16838"/>
      <w:pgMar w:top="1134" w:right="1134" w:bottom="1134" w:left="1134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Fee-variance reconciliation — delivery hand-off</dc:title>
  <dc:description>discovery/brand/design.md@v1</dc:description>
</cp:coreProperties>
</file>