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c>
          <w:tcPr>
            <w:tcW w:w="4788" w:type="dxa"/>
          </w:tcPr>
          <w:p>
            <w:r>
              <w:t>R1C1</w:t>
            </w:r>
          </w:p>
        </w:tc>
        <w:tc>
          <w:tcPr>
            <w:tcW w:w="4788" w:type="dxa"/>
          </w:tcPr>
          <w:p>
            <w:r>
              <w:t>R1C2</w:t>
            </w:r>
          </w:p>
        </w:tc>
      </w:tr>
      <w:tr>
        <w:tc>
          <w:tcPr>
            <w:tcW w:w="4788" w:type="dxa"/>
          </w:tcPr>
          <w:p>
            <w:r>
              <w:t>R2C1</w:t>
            </w:r>
          </w:p>
        </w:tc>
        <w:tc>
          <w:tcPr>
            <w:tcW w:w="4788" w:type="dxa"/>
          </w:tcPr>
          <w:p>
            <w:r>
              <w:t>R2C2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Plutext Pty Ltd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2008-06-10T02:24:00Z</dcterms:created>
  <dcterms:modified xsi:type="dcterms:W3CDTF">2008-06-10T02:24:00Z</dcterms:modified>
</cp:coreProperties>
</file>