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331D4">
      <w:pPr>
        <w:pStyle w:val="13"/>
        <w:numPr>
          <w:ilvl w:val="0"/>
          <w:numId w:val="0"/>
        </w:numPr>
        <w:bidi w:val="0"/>
        <w:spacing w:before="156" w:after="156" w:line="390" w:lineRule="exact"/>
        <w:ind w:firstLine="720"/>
        <w:jc w:val="center"/>
        <w:outlineLvl w:val="0"/>
        <w:rPr>
          <w:rFonts w:ascii="微软雅黑" w:hAnsi="微软雅黑" w:eastAsia="微软雅黑"/>
          <w:sz w:val="36"/>
        </w:rPr>
      </w:pPr>
      <w:r>
        <w:rPr>
          <w:rFonts w:ascii="微软雅黑" w:hAnsi="微软雅黑" w:eastAsia="微软雅黑"/>
          <w:sz w:val="36"/>
        </w:rPr>
        <w:t>202</w:t>
      </w:r>
      <w:r>
        <w:rPr>
          <w:rFonts w:hint="eastAsia" w:ascii="微软雅黑" w:hAnsi="微软雅黑" w:eastAsia="微软雅黑"/>
          <w:sz w:val="36"/>
          <w:lang w:val="en-US" w:eastAsia="zh-CN"/>
        </w:rPr>
        <w:t>5</w:t>
      </w:r>
      <w:r>
        <w:rPr>
          <w:rFonts w:ascii="微软雅黑" w:hAnsi="微软雅黑" w:eastAsia="微软雅黑"/>
          <w:sz w:val="36"/>
        </w:rPr>
        <w:t>年度openGauss标杆应用实践案例申报表</w:t>
      </w:r>
    </w:p>
    <w:p w14:paraId="23AEA913">
      <w:pPr>
        <w:widowControl w:val="0"/>
        <w:bidi w:val="0"/>
        <w:jc w:val="both"/>
      </w:pPr>
    </w:p>
    <w:tbl>
      <w:tblPr>
        <w:tblStyle w:val="20"/>
        <w:tblW w:w="98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551"/>
        <w:gridCol w:w="1702"/>
        <w:gridCol w:w="3353"/>
      </w:tblGrid>
      <w:tr w14:paraId="48C28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61398482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项目名称</w:t>
            </w:r>
          </w:p>
        </w:tc>
        <w:tc>
          <w:tcPr>
            <w:tcW w:w="7606" w:type="dxa"/>
            <w:gridSpan w:val="3"/>
          </w:tcPr>
          <w:p w14:paraId="25EDE633">
            <w:pPr>
              <w:bidi w:val="0"/>
              <w:rPr>
                <w:rFonts w:hint="default" w:ascii="微软雅黑" w:hAnsi="微软雅黑" w:eastAsia="微软雅黑"/>
                <w:lang w:val="en-US" w:eastAsia="zh-CN"/>
              </w:rPr>
            </w:pPr>
          </w:p>
        </w:tc>
      </w:tr>
      <w:tr w14:paraId="7426A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023502CA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openGauss版本类型</w:t>
            </w:r>
          </w:p>
        </w:tc>
        <w:tc>
          <w:tcPr>
            <w:tcW w:w="7606" w:type="dxa"/>
            <w:gridSpan w:val="3"/>
          </w:tcPr>
          <w:p w14:paraId="4E939D74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商业发行版 或者 用户自用版 或者 社区版</w:t>
            </w:r>
          </w:p>
        </w:tc>
      </w:tr>
      <w:tr w14:paraId="3408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5CD948F8">
            <w:pPr>
              <w:bidi w:val="0"/>
              <w:rPr>
                <w:rFonts w:hint="default" w:ascii="微软雅黑" w:hAnsi="微软雅黑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公司全称（仅限用户单位）</w:t>
            </w:r>
          </w:p>
        </w:tc>
        <w:tc>
          <w:tcPr>
            <w:tcW w:w="7606" w:type="dxa"/>
            <w:gridSpan w:val="3"/>
          </w:tcPr>
          <w:p w14:paraId="3102926F">
            <w:pPr>
              <w:bidi w:val="0"/>
              <w:rPr>
                <w:rFonts w:ascii="微软雅黑" w:hAnsi="微软雅黑" w:eastAsia="微软雅黑"/>
              </w:rPr>
            </w:pPr>
          </w:p>
        </w:tc>
      </w:tr>
      <w:tr w14:paraId="656B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404FDE6A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公司介绍（限200字）</w:t>
            </w:r>
          </w:p>
        </w:tc>
        <w:tc>
          <w:tcPr>
            <w:tcW w:w="7606" w:type="dxa"/>
            <w:gridSpan w:val="3"/>
          </w:tcPr>
          <w:p w14:paraId="583E244A">
            <w:pPr>
              <w:bidi w:val="0"/>
              <w:rPr>
                <w:rFonts w:ascii="微软雅黑" w:hAnsi="微软雅黑" w:eastAsia="微软雅黑"/>
              </w:rPr>
            </w:pPr>
          </w:p>
        </w:tc>
      </w:tr>
      <w:tr w14:paraId="4A90A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3EED6DA3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联系人姓名</w:t>
            </w:r>
          </w:p>
        </w:tc>
        <w:tc>
          <w:tcPr>
            <w:tcW w:w="2551" w:type="dxa"/>
          </w:tcPr>
          <w:p w14:paraId="7E2E06DA">
            <w:pPr>
              <w:bidi w:val="0"/>
              <w:rPr>
                <w:rFonts w:ascii="微软雅黑" w:hAnsi="微软雅黑" w:eastAsia="微软雅黑"/>
              </w:rPr>
            </w:pPr>
          </w:p>
        </w:tc>
        <w:tc>
          <w:tcPr>
            <w:tcW w:w="1702" w:type="dxa"/>
          </w:tcPr>
          <w:p w14:paraId="535503A5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职务</w:t>
            </w:r>
          </w:p>
        </w:tc>
        <w:tc>
          <w:tcPr>
            <w:tcW w:w="3353" w:type="dxa"/>
          </w:tcPr>
          <w:p w14:paraId="2284EA6E">
            <w:pPr>
              <w:bidi w:val="0"/>
              <w:rPr>
                <w:rFonts w:ascii="微软雅黑" w:hAnsi="微软雅黑" w:eastAsia="微软雅黑"/>
              </w:rPr>
            </w:pPr>
          </w:p>
        </w:tc>
      </w:tr>
      <w:tr w14:paraId="7460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</w:tcPr>
          <w:p w14:paraId="1944DFC1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电子邮箱</w:t>
            </w:r>
          </w:p>
        </w:tc>
        <w:tc>
          <w:tcPr>
            <w:tcW w:w="2551" w:type="dxa"/>
          </w:tcPr>
          <w:p w14:paraId="0C6D2CAD">
            <w:pPr>
              <w:bidi w:val="0"/>
              <w:rPr>
                <w:rFonts w:ascii="微软雅黑" w:hAnsi="微软雅黑" w:eastAsia="微软雅黑"/>
              </w:rPr>
            </w:pPr>
          </w:p>
        </w:tc>
        <w:tc>
          <w:tcPr>
            <w:tcW w:w="1702" w:type="dxa"/>
          </w:tcPr>
          <w:p w14:paraId="5BF0EA57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手机</w:t>
            </w:r>
          </w:p>
        </w:tc>
        <w:tc>
          <w:tcPr>
            <w:tcW w:w="3353" w:type="dxa"/>
          </w:tcPr>
          <w:p w14:paraId="05C1B57E">
            <w:pPr>
              <w:bidi w:val="0"/>
              <w:rPr>
                <w:rFonts w:ascii="微软雅黑" w:hAnsi="微软雅黑" w:eastAsia="微软雅黑"/>
              </w:rPr>
            </w:pPr>
          </w:p>
        </w:tc>
      </w:tr>
      <w:tr w14:paraId="7D5E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63" w:type="dxa"/>
          </w:tcPr>
          <w:p w14:paraId="36D9D9FF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版本信息</w:t>
            </w:r>
          </w:p>
          <w:p w14:paraId="6542A558">
            <w:pPr>
              <w:bidi w:val="0"/>
              <w:jc w:val="center"/>
              <w:rPr>
                <w:rFonts w:ascii="微软雅黑" w:hAnsi="微软雅黑" w:eastAsia="微软雅黑"/>
                <w:i/>
              </w:rPr>
            </w:pPr>
            <w:r>
              <w:rPr>
                <w:i/>
                <w:color w:val="0070C0"/>
              </w:rPr>
              <w:t>基于openGauss技术路线的版本名称/版本号</w:t>
            </w:r>
          </w:p>
        </w:tc>
        <w:tc>
          <w:tcPr>
            <w:tcW w:w="7606" w:type="dxa"/>
            <w:gridSpan w:val="3"/>
          </w:tcPr>
          <w:p w14:paraId="3ED72643">
            <w:pPr>
              <w:bidi w:val="0"/>
              <w:jc w:val="center"/>
              <w:rPr>
                <w:rFonts w:ascii="微软雅黑" w:hAnsi="微软雅黑" w:eastAsia="微软雅黑"/>
              </w:rPr>
            </w:pPr>
            <w:bookmarkStart w:id="0" w:name="_GoBack"/>
            <w:bookmarkEnd w:id="0"/>
          </w:p>
        </w:tc>
      </w:tr>
      <w:tr w14:paraId="7CB7C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2263" w:type="dxa"/>
          </w:tcPr>
          <w:p w14:paraId="3DF4CFAA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使用场景</w:t>
            </w:r>
          </w:p>
          <w:p w14:paraId="658C5E24">
            <w:pPr>
              <w:bidi w:val="0"/>
              <w:rPr>
                <w:rFonts w:ascii="微软雅黑" w:hAnsi="微软雅黑" w:eastAsia="微软雅黑"/>
              </w:rPr>
            </w:pPr>
            <w:r>
              <w:rPr>
                <w:i/>
                <w:color w:val="0070C0"/>
              </w:rPr>
              <w:t>所在行业及应用场景</w:t>
            </w:r>
          </w:p>
        </w:tc>
        <w:tc>
          <w:tcPr>
            <w:tcW w:w="7606" w:type="dxa"/>
            <w:gridSpan w:val="3"/>
          </w:tcPr>
          <w:p w14:paraId="220E1477">
            <w:pPr>
              <w:bidi w:val="0"/>
              <w:spacing w:line="360" w:lineRule="auto"/>
              <w:jc w:val="left"/>
            </w:pPr>
          </w:p>
        </w:tc>
      </w:tr>
      <w:tr w14:paraId="089E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9869" w:type="dxa"/>
            <w:gridSpan w:val="4"/>
          </w:tcPr>
          <w:p w14:paraId="2FA2FB18">
            <w:pPr>
              <w:bidi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项目简介</w:t>
            </w:r>
          </w:p>
          <w:p w14:paraId="76FEEE81">
            <w:pPr>
              <w:bidi w:val="0"/>
              <w:jc w:val="center"/>
              <w:rPr>
                <w:rFonts w:ascii="微软雅黑" w:hAnsi="微软雅黑" w:eastAsia="微软雅黑"/>
                <w:i/>
              </w:rPr>
            </w:pPr>
            <w:r>
              <w:rPr>
                <w:i/>
                <w:color w:val="0070C0"/>
              </w:rPr>
              <w:t>（简要阐述基于openGauss的商业实践成果，1000字以内）</w:t>
            </w:r>
          </w:p>
        </w:tc>
      </w:tr>
      <w:tr w14:paraId="3ABD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0" w:hRule="atLeast"/>
        </w:trPr>
        <w:tc>
          <w:tcPr>
            <w:tcW w:w="9869" w:type="dxa"/>
            <w:gridSpan w:val="4"/>
          </w:tcPr>
          <w:p w14:paraId="5D4BA501">
            <w:pPr>
              <w:pStyle w:val="54"/>
              <w:bidi w:val="0"/>
              <w:ind w:left="360" w:firstLine="0"/>
              <w:jc w:val="left"/>
              <w:rPr>
                <w:rFonts w:ascii="微软雅黑" w:hAnsi="微软雅黑" w:eastAsia="微软雅黑"/>
              </w:rPr>
            </w:pPr>
          </w:p>
          <w:p w14:paraId="1BE757B8">
            <w:pPr>
              <w:pStyle w:val="54"/>
              <w:bidi w:val="0"/>
              <w:ind w:left="360" w:firstLine="0"/>
              <w:jc w:val="left"/>
              <w:rPr>
                <w:rFonts w:ascii="微软雅黑" w:hAnsi="微软雅黑" w:eastAsia="微软雅黑"/>
              </w:rPr>
            </w:pPr>
          </w:p>
        </w:tc>
      </w:tr>
      <w:tr w14:paraId="4C06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9" w:type="dxa"/>
            <w:gridSpan w:val="4"/>
          </w:tcPr>
          <w:p w14:paraId="5D6C5D9D">
            <w:pPr>
              <w:bidi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应用规模</w:t>
            </w:r>
          </w:p>
          <w:p w14:paraId="162D4CF3">
            <w:pPr>
              <w:bidi w:val="0"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（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1.</w:t>
            </w:r>
            <w:r>
              <w:rPr>
                <w:i/>
                <w:color w:val="0070C0"/>
              </w:rPr>
              <w:t>阐述openGauss系数据库装机量及在现有</w:t>
            </w:r>
            <w:r>
              <w:rPr>
                <w:rFonts w:hint="eastAsia"/>
                <w:i/>
                <w:color w:val="0070C0"/>
                <w:lang w:val="en-US" w:eastAsia="zh-CN"/>
              </w:rPr>
              <w:t>总部署</w:t>
            </w:r>
            <w:r>
              <w:rPr>
                <w:i/>
                <w:color w:val="0070C0"/>
              </w:rPr>
              <w:t>数据库</w:t>
            </w:r>
            <w:r>
              <w:rPr>
                <w:rFonts w:hint="eastAsia"/>
                <w:i/>
                <w:color w:val="0070C0"/>
                <w:lang w:val="en-US" w:eastAsia="zh-CN"/>
              </w:rPr>
              <w:t>中</w:t>
            </w:r>
            <w:r>
              <w:rPr>
                <w:i/>
                <w:color w:val="0070C0"/>
              </w:rPr>
              <w:t>的占比</w:t>
            </w:r>
            <w:r>
              <w:rPr>
                <w:rFonts w:hint="eastAsia"/>
                <w:i/>
                <w:color w:val="0070C0"/>
                <w:lang w:eastAsia="zh-CN"/>
              </w:rPr>
              <w:t>；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2.</w:t>
            </w:r>
            <w:r>
              <w:rPr>
                <w:i/>
                <w:color w:val="0070C0"/>
              </w:rPr>
              <w:t>部署openGauss</w:t>
            </w:r>
            <w:r>
              <w:rPr>
                <w:rFonts w:hint="eastAsia"/>
                <w:i/>
                <w:color w:val="0070C0"/>
                <w:lang w:val="en-US" w:eastAsia="zh-CN"/>
              </w:rPr>
              <w:t>数据库</w:t>
            </w:r>
            <w:r>
              <w:rPr>
                <w:i/>
                <w:color w:val="0070C0"/>
              </w:rPr>
              <w:t>承载的用户规模、在网运行时间，500字以内，同时请提供相应的佐证材料）</w:t>
            </w:r>
          </w:p>
        </w:tc>
      </w:tr>
      <w:tr w14:paraId="6234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9869" w:type="dxa"/>
            <w:gridSpan w:val="4"/>
          </w:tcPr>
          <w:p w14:paraId="6789DF7C">
            <w:pPr>
              <w:bidi w:val="0"/>
              <w:jc w:val="center"/>
              <w:rPr>
                <w:i/>
                <w:color w:val="0070C0"/>
              </w:rPr>
            </w:pPr>
          </w:p>
        </w:tc>
      </w:tr>
      <w:tr w14:paraId="2887F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9" w:type="dxa"/>
            <w:gridSpan w:val="4"/>
          </w:tcPr>
          <w:p w14:paraId="0D69B2AE">
            <w:pPr>
              <w:bidi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示范价值</w:t>
            </w:r>
          </w:p>
          <w:p w14:paraId="6F8B8CE7">
            <w:pPr>
              <w:bidi w:val="0"/>
              <w:jc w:val="center"/>
              <w:rPr>
                <w:rFonts w:ascii="微软雅黑" w:hAnsi="微软雅黑" w:eastAsia="微软雅黑"/>
              </w:rPr>
            </w:pPr>
            <w:r>
              <w:rPr>
                <w:i/>
                <w:color w:val="0070C0"/>
              </w:rPr>
              <w:t xml:space="preserve">   （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1.</w:t>
            </w:r>
            <w:r>
              <w:rPr>
                <w:rFonts w:hint="eastAsia"/>
                <w:i/>
                <w:color w:val="0070C0"/>
                <w:lang w:val="en-US" w:eastAsia="zh-CN"/>
              </w:rPr>
              <w:t>阐述</w:t>
            </w:r>
            <w:r>
              <w:rPr>
                <w:i/>
                <w:color w:val="0070C0"/>
              </w:rPr>
              <w:t>openGauss</w:t>
            </w:r>
            <w:r>
              <w:rPr>
                <w:rFonts w:hint="eastAsia"/>
                <w:i/>
                <w:color w:val="0070C0"/>
                <w:lang w:val="en-US" w:eastAsia="zh-CN"/>
              </w:rPr>
              <w:t>部署的核心应用场景以及</w:t>
            </w:r>
            <w:r>
              <w:rPr>
                <w:i/>
                <w:color w:val="0070C0"/>
              </w:rPr>
              <w:t>部署效果</w:t>
            </w:r>
            <w:r>
              <w:rPr>
                <w:rFonts w:hint="eastAsia"/>
                <w:i/>
                <w:color w:val="0070C0"/>
                <w:lang w:eastAsia="zh-CN"/>
              </w:rPr>
              <w:t>；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2.</w:t>
            </w:r>
            <w:r>
              <w:rPr>
                <w:rFonts w:hint="eastAsia"/>
                <w:i/>
                <w:color w:val="0070C0"/>
                <w:lang w:val="en-US" w:eastAsia="zh-CN"/>
              </w:rPr>
              <w:t>介绍近两年</w:t>
            </w:r>
            <w:r>
              <w:rPr>
                <w:i/>
                <w:color w:val="0070C0"/>
              </w:rPr>
              <w:t>openGauss</w:t>
            </w:r>
            <w:r>
              <w:rPr>
                <w:rFonts w:hint="eastAsia"/>
                <w:i/>
                <w:color w:val="0070C0"/>
                <w:lang w:val="en-US" w:eastAsia="zh-CN"/>
              </w:rPr>
              <w:t>系数据库装机增长率；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3.</w:t>
            </w:r>
            <w:r>
              <w:rPr>
                <w:rFonts w:hint="eastAsia"/>
                <w:i/>
                <w:color w:val="0070C0"/>
                <w:lang w:val="en-US" w:eastAsia="zh-CN"/>
              </w:rPr>
              <w:t>介绍基于openGauss解</w:t>
            </w:r>
            <w:r>
              <w:rPr>
                <w:i/>
                <w:color w:val="0070C0"/>
              </w:rPr>
              <w:t>决行业核心场景中的痛点问题，满足典型场景需求，未来规模推广前景，1000字以内，同时请提供相应的佐证材料，如果涉密无法公开，请说明）</w:t>
            </w:r>
          </w:p>
        </w:tc>
      </w:tr>
      <w:tr w14:paraId="07DE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3" w:hRule="atLeast"/>
        </w:trPr>
        <w:tc>
          <w:tcPr>
            <w:tcW w:w="9869" w:type="dxa"/>
            <w:gridSpan w:val="4"/>
          </w:tcPr>
          <w:p w14:paraId="4EFD8540">
            <w:pPr>
              <w:bidi w:val="0"/>
              <w:jc w:val="center"/>
              <w:rPr>
                <w:i/>
                <w:color w:val="0070C0"/>
              </w:rPr>
            </w:pPr>
          </w:p>
        </w:tc>
      </w:tr>
      <w:tr w14:paraId="7BD2B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1" w:hRule="atLeast"/>
        </w:trPr>
        <w:tc>
          <w:tcPr>
            <w:tcW w:w="9869" w:type="dxa"/>
            <w:gridSpan w:val="4"/>
          </w:tcPr>
          <w:p w14:paraId="0EC716E6">
            <w:pPr>
              <w:bidi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技术创新</w:t>
            </w:r>
          </w:p>
          <w:p w14:paraId="3682FE03">
            <w:pPr>
              <w:bidi w:val="0"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 xml:space="preserve">    （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1.</w:t>
            </w:r>
            <w:r>
              <w:rPr>
                <w:rFonts w:hint="eastAsia"/>
                <w:i/>
                <w:color w:val="0070C0"/>
                <w:lang w:val="en-US" w:eastAsia="zh-CN"/>
              </w:rPr>
              <w:t>阐述基于</w:t>
            </w:r>
            <w:r>
              <w:rPr>
                <w:i/>
                <w:color w:val="0070C0"/>
              </w:rPr>
              <w:t>openGauss</w:t>
            </w:r>
            <w:r>
              <w:rPr>
                <w:rFonts w:hint="eastAsia"/>
                <w:i/>
                <w:color w:val="0070C0"/>
                <w:lang w:val="en-US" w:eastAsia="zh-CN"/>
              </w:rPr>
              <w:t>的软硬全栈系统架构创新、软硬件适配情况；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2.</w:t>
            </w:r>
            <w:r>
              <w:rPr>
                <w:rFonts w:hint="eastAsia"/>
                <w:i/>
                <w:color w:val="0070C0"/>
              </w:rPr>
              <w:t>与行业成熟方案相比，有差异化的竞争力</w:t>
            </w:r>
            <w:r>
              <w:rPr>
                <w:rFonts w:hint="eastAsia"/>
                <w:i/>
                <w:color w:val="0070C0"/>
                <w:lang w:eastAsia="zh-CN"/>
              </w:rPr>
              <w:t>，</w:t>
            </w:r>
            <w:r>
              <w:rPr>
                <w:rFonts w:hint="eastAsia"/>
                <w:i/>
                <w:color w:val="0070C0"/>
              </w:rPr>
              <w:t>如性能、可靠性、稳定性、易用性等</w:t>
            </w:r>
            <w:r>
              <w:rPr>
                <w:rFonts w:hint="eastAsia"/>
                <w:i/>
                <w:color w:val="0070C0"/>
                <w:lang w:eastAsia="zh-CN"/>
              </w:rPr>
              <w:t>；</w:t>
            </w:r>
            <w:r>
              <w:rPr>
                <w:rFonts w:hint="eastAsia"/>
                <w:b/>
                <w:bCs/>
                <w:i/>
                <w:color w:val="C00000"/>
                <w:lang w:val="en-US" w:eastAsia="zh-CN"/>
              </w:rPr>
              <w:t>3.</w:t>
            </w:r>
            <w:r>
              <w:rPr>
                <w:rFonts w:hint="eastAsia"/>
                <w:i/>
                <w:color w:val="0070C0"/>
                <w:lang w:val="en-US" w:eastAsia="zh-CN"/>
              </w:rPr>
              <w:t>阐述</w:t>
            </w:r>
            <w:r>
              <w:rPr>
                <w:i/>
                <w:color w:val="0070C0"/>
              </w:rPr>
              <w:t>openGauss</w:t>
            </w:r>
            <w:r>
              <w:rPr>
                <w:rFonts w:hint="eastAsia"/>
                <w:i/>
                <w:color w:val="0070C0"/>
                <w:lang w:val="en-US" w:eastAsia="zh-CN"/>
              </w:rPr>
              <w:t>与云、AI等新兴技术融合创新，赋能业务发展情况，</w:t>
            </w:r>
            <w:r>
              <w:rPr>
                <w:i/>
                <w:color w:val="0070C0"/>
              </w:rPr>
              <w:t>1000字以内）</w:t>
            </w:r>
          </w:p>
        </w:tc>
      </w:tr>
      <w:tr w14:paraId="62DF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</w:trPr>
        <w:tc>
          <w:tcPr>
            <w:tcW w:w="9869" w:type="dxa"/>
            <w:gridSpan w:val="4"/>
          </w:tcPr>
          <w:p w14:paraId="4B54CB59">
            <w:pPr>
              <w:bidi w:val="0"/>
              <w:jc w:val="left"/>
              <w:rPr>
                <w:rFonts w:ascii="微软雅黑" w:hAnsi="微软雅黑" w:eastAsia="微软雅黑"/>
              </w:rPr>
            </w:pPr>
          </w:p>
          <w:p w14:paraId="79BB266D">
            <w:pPr>
              <w:bidi w:val="0"/>
              <w:jc w:val="left"/>
              <w:rPr>
                <w:rFonts w:ascii="微软雅黑" w:hAnsi="微软雅黑" w:eastAsia="微软雅黑"/>
              </w:rPr>
            </w:pPr>
          </w:p>
          <w:p w14:paraId="13ADC5AE">
            <w:pPr>
              <w:bidi w:val="0"/>
              <w:jc w:val="left"/>
              <w:rPr>
                <w:rFonts w:ascii="微软雅黑" w:hAnsi="微软雅黑" w:eastAsia="微软雅黑"/>
              </w:rPr>
            </w:pPr>
          </w:p>
        </w:tc>
      </w:tr>
      <w:tr w14:paraId="526D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7" w:hRule="atLeast"/>
        </w:trPr>
        <w:tc>
          <w:tcPr>
            <w:tcW w:w="9869" w:type="dxa"/>
            <w:gridSpan w:val="4"/>
          </w:tcPr>
          <w:p w14:paraId="4DECAE8A">
            <w:pPr>
              <w:bidi w:val="0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其他备注</w:t>
            </w:r>
          </w:p>
          <w:p w14:paraId="417532DF">
            <w:pPr>
              <w:bidi w:val="0"/>
              <w:jc w:val="center"/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（上述未列出的其他方面的补充，若无，请忽略此框）</w:t>
            </w:r>
          </w:p>
          <w:p w14:paraId="61015873">
            <w:pPr>
              <w:bidi w:val="0"/>
              <w:jc w:val="left"/>
              <w:rPr>
                <w:rFonts w:ascii="微软雅黑" w:hAnsi="微软雅黑" w:eastAsia="微软雅黑"/>
              </w:rPr>
            </w:pPr>
          </w:p>
        </w:tc>
      </w:tr>
      <w:tr w14:paraId="08F4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0" w:hRule="atLeast"/>
        </w:trPr>
        <w:tc>
          <w:tcPr>
            <w:tcW w:w="9869" w:type="dxa"/>
            <w:gridSpan w:val="4"/>
          </w:tcPr>
          <w:p w14:paraId="5A705034">
            <w:pPr>
              <w:bidi w:val="0"/>
              <w:jc w:val="left"/>
              <w:rPr>
                <w:rFonts w:ascii="微软雅黑" w:hAnsi="微软雅黑" w:eastAsia="微软雅黑"/>
              </w:rPr>
            </w:pPr>
          </w:p>
        </w:tc>
      </w:tr>
    </w:tbl>
    <w:p w14:paraId="392A358C">
      <w:pPr>
        <w:widowControl w:val="0"/>
        <w:bidi w:val="0"/>
        <w:jc w:val="both"/>
      </w:pPr>
    </w:p>
    <w:sectPr>
      <w:pgSz w:w="11906" w:h="16838"/>
      <w:pgMar w:top="1440" w:right="1440" w:bottom="1440" w:left="144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Liberation Sans">
    <w:altName w:val="宋体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gwOTk3NzdkM2E3ZjAxNzg4ZTI2NTk2OThhYWFiZWYifQ=="/>
  </w:docVars>
  <w:rsids>
    <w:rsidRoot w:val="00000000"/>
    <w:rsid w:val="0C5E12BF"/>
    <w:rsid w:val="0EBB7A12"/>
    <w:rsid w:val="131E4AE2"/>
    <w:rsid w:val="29C30953"/>
    <w:rsid w:val="39B72B0C"/>
    <w:rsid w:val="3A717B1A"/>
    <w:rsid w:val="67E3597E"/>
    <w:rsid w:val="689A0CD1"/>
    <w:rsid w:val="7D7569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Theme="minorHAnsi" w:hAnsiTheme="minorHAnsi" w:eastAsiaTheme="minorEastAsia" w:cstheme="minorBidi"/>
      <w:color w:val="auto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2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64" w:line="319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19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after="64" w:line="319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after="64" w:line="319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2">
    <w:name w:val="Body Text"/>
    <w:basedOn w:val="1"/>
    <w:qFormat/>
    <w:uiPriority w:val="0"/>
    <w:pPr>
      <w:spacing w:before="0" w:after="140" w:line="276" w:lineRule="auto"/>
    </w:pPr>
  </w:style>
  <w:style w:type="paragraph" w:styleId="13">
    <w:name w:val="Plain Text"/>
    <w:basedOn w:val="1"/>
    <w:link w:val="46"/>
    <w:qFormat/>
    <w:uiPriority w:val="0"/>
    <w:pPr>
      <w:spacing w:line="360" w:lineRule="auto"/>
      <w:ind w:firstLine="480"/>
    </w:pPr>
    <w:rPr>
      <w:rFonts w:ascii="仿宋_GB2312" w:hAnsi="仿宋_GB2312"/>
      <w:sz w:val="24"/>
    </w:rPr>
  </w:style>
  <w:style w:type="paragraph" w:styleId="14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48"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36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17">
    <w:name w:val="List"/>
    <w:basedOn w:val="12"/>
    <w:qFormat/>
    <w:uiPriority w:val="0"/>
    <w:rPr>
      <w:rFonts w:cs="Arial"/>
    </w:rPr>
  </w:style>
  <w:style w:type="paragraph" w:styleId="18">
    <w:name w:val="Title"/>
    <w:basedOn w:val="1"/>
    <w:next w:val="1"/>
    <w:link w:val="35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20">
    <w:name w:val="Table Grid"/>
    <w:unhideWhenUsed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FollowedHyperlink"/>
    <w:basedOn w:val="21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Emphasis"/>
    <w:basedOn w:val="21"/>
    <w:qFormat/>
    <w:uiPriority w:val="20"/>
    <w:rPr>
      <w:i/>
      <w:iCs/>
    </w:rPr>
  </w:style>
  <w:style w:type="character" w:customStyle="1" w:styleId="25">
    <w:name w:val="Internet 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1"/>
    <w:qFormat/>
    <w:uiPriority w:val="9"/>
    <w:rPr>
      <w:b/>
      <w:bCs/>
      <w:kern w:val="2"/>
      <w:sz w:val="44"/>
      <w:szCs w:val="44"/>
    </w:rPr>
  </w:style>
  <w:style w:type="character" w:customStyle="1" w:styleId="27">
    <w:name w:val="标题 2 字符"/>
    <w:basedOn w:val="21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3 字符"/>
    <w:basedOn w:val="21"/>
    <w:qFormat/>
    <w:uiPriority w:val="9"/>
    <w:rPr>
      <w:b/>
      <w:bCs/>
      <w:sz w:val="32"/>
      <w:szCs w:val="32"/>
    </w:rPr>
  </w:style>
  <w:style w:type="character" w:customStyle="1" w:styleId="29">
    <w:name w:val="标题 4 字符"/>
    <w:basedOn w:val="21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0">
    <w:name w:val="标题 5 字符"/>
    <w:basedOn w:val="21"/>
    <w:qFormat/>
    <w:uiPriority w:val="9"/>
    <w:rPr>
      <w:b/>
      <w:bCs/>
      <w:sz w:val="28"/>
      <w:szCs w:val="28"/>
    </w:rPr>
  </w:style>
  <w:style w:type="character" w:customStyle="1" w:styleId="31">
    <w:name w:val="标题 6 字符"/>
    <w:basedOn w:val="21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2">
    <w:name w:val="标题 7 字符"/>
    <w:basedOn w:val="21"/>
    <w:qFormat/>
    <w:uiPriority w:val="9"/>
    <w:rPr>
      <w:b/>
      <w:bCs/>
      <w:sz w:val="24"/>
      <w:szCs w:val="24"/>
    </w:rPr>
  </w:style>
  <w:style w:type="character" w:customStyle="1" w:styleId="33">
    <w:name w:val="标题 8 字符"/>
    <w:basedOn w:val="21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4">
    <w:name w:val="标题 9 字符"/>
    <w:basedOn w:val="21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35">
    <w:name w:val="标题 字符"/>
    <w:basedOn w:val="21"/>
    <w:link w:val="1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6">
    <w:name w:val="副标题 字符"/>
    <w:basedOn w:val="21"/>
    <w:link w:val="16"/>
    <w:qFormat/>
    <w:uiPriority w:val="11"/>
    <w:rPr>
      <w:rFonts w:eastAsia="宋体" w:asciiTheme="majorHAnsi" w:hAnsiTheme="majorHAnsi" w:cstheme="majorBidi"/>
      <w:b/>
      <w:bCs/>
      <w:kern w:val="2"/>
      <w:sz w:val="32"/>
      <w:szCs w:val="32"/>
    </w:rPr>
  </w:style>
  <w:style w:type="character" w:customStyle="1" w:styleId="37">
    <w:name w:val="不明显强调1"/>
    <w:basedOn w:val="2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8">
    <w:name w:val="明显强调1"/>
    <w:basedOn w:val="2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9">
    <w:name w:val="引用 字符"/>
    <w:basedOn w:val="21"/>
    <w:link w:val="4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40">
    <w:name w:val="Quote"/>
    <w:basedOn w:val="1"/>
    <w:next w:val="1"/>
    <w:link w:val="3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1">
    <w:name w:val="明显引用 字符"/>
    <w:basedOn w:val="21"/>
    <w:link w:val="4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42">
    <w:name w:val="Intense Quote"/>
    <w:basedOn w:val="1"/>
    <w:next w:val="1"/>
    <w:link w:val="4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不明显参考1"/>
    <w:basedOn w:val="2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44">
    <w:name w:val="明显参考1"/>
    <w:basedOn w:val="2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5">
    <w:name w:val="书籍标题1"/>
    <w:basedOn w:val="21"/>
    <w:qFormat/>
    <w:uiPriority w:val="33"/>
    <w:rPr>
      <w:b/>
      <w:bCs/>
      <w:smallCaps/>
      <w:spacing w:val="5"/>
    </w:rPr>
  </w:style>
  <w:style w:type="character" w:customStyle="1" w:styleId="46">
    <w:name w:val="纯文本 字符"/>
    <w:link w:val="13"/>
    <w:qFormat/>
    <w:uiPriority w:val="0"/>
    <w:rPr>
      <w:rFonts w:ascii="仿宋_GB2312" w:hAnsi="仿宋_GB2312"/>
      <w:sz w:val="24"/>
    </w:rPr>
  </w:style>
  <w:style w:type="character" w:customStyle="1" w:styleId="47">
    <w:name w:val="纯文本 字符1"/>
    <w:basedOn w:val="21"/>
    <w:semiHidden/>
    <w:qFormat/>
    <w:uiPriority w:val="99"/>
    <w:rPr>
      <w:rFonts w:hAnsi="宋体" w:cs="Courier New" w:asciiTheme="minorEastAsia"/>
    </w:rPr>
  </w:style>
  <w:style w:type="character" w:customStyle="1" w:styleId="48">
    <w:name w:val="页眉 字符"/>
    <w:basedOn w:val="21"/>
    <w:link w:val="15"/>
    <w:qFormat/>
    <w:uiPriority w:val="99"/>
    <w:rPr>
      <w:sz w:val="18"/>
      <w:szCs w:val="18"/>
    </w:rPr>
  </w:style>
  <w:style w:type="character" w:customStyle="1" w:styleId="49">
    <w:name w:val="页脚 字符"/>
    <w:basedOn w:val="21"/>
    <w:link w:val="14"/>
    <w:qFormat/>
    <w:uiPriority w:val="99"/>
    <w:rPr>
      <w:sz w:val="18"/>
      <w:szCs w:val="18"/>
    </w:rPr>
  </w:style>
  <w:style w:type="character" w:customStyle="1" w:styleId="50">
    <w:name w:val="bjh-p"/>
    <w:basedOn w:val="21"/>
    <w:qFormat/>
    <w:uiPriority w:val="0"/>
  </w:style>
  <w:style w:type="paragraph" w:customStyle="1" w:styleId="51">
    <w:name w:val="标题样式"/>
    <w:basedOn w:val="1"/>
    <w:next w:val="12"/>
    <w:qFormat/>
    <w:uiPriority w:val="0"/>
    <w:pPr>
      <w:keepNext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customStyle="1" w:styleId="52">
    <w:name w:val="索引"/>
    <w:basedOn w:val="1"/>
    <w:qFormat/>
    <w:uiPriority w:val="0"/>
    <w:pPr>
      <w:suppressLineNumbers/>
    </w:pPr>
    <w:rPr>
      <w:rFonts w:cs="Arial"/>
    </w:rPr>
  </w:style>
  <w:style w:type="paragraph" w:customStyle="1" w:styleId="53">
    <w:name w:val="页眉与页脚"/>
    <w:basedOn w:val="1"/>
    <w:qFormat/>
    <w:uiPriority w:val="0"/>
  </w:style>
  <w:style w:type="paragraph" w:styleId="54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look.dotx</Template>
  <Company>Huawei Technologies Co., Ltd.</Company>
  <Pages>2</Pages>
  <Words>448</Words>
  <Characters>570</Characters>
  <Paragraphs>24</Paragraphs>
  <TotalTime>14</TotalTime>
  <ScaleCrop>false</ScaleCrop>
  <LinksUpToDate>false</LinksUpToDate>
  <CharactersWithSpaces>581</CharactersWithSpaces>
  <Application>WPS Office_12.8.2.20324_F1E327BC-269C-435d-A152-05C5408002CA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2022-12-02T07:56:00Z</dcterms:created>
  <dc:creator>chengxinxin (E)</dc:creator>
  <cp:lastModifiedBy>realize</cp:lastModifiedBy>
  <dcterms:modified xsi:type="dcterms:W3CDTF">2025-11-21T03:45:07Z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E5695E4722E7421EAF2EA539DC95F76B_13</vt:lpwstr>
  </property>
  <property fmtid="{D5CDD505-2E9C-101B-9397-08002B2CF9AE}" pid="3" name="KSOProductBuildVer">
    <vt:lpwstr>2052-12.8.2.20324</vt:lpwstr>
  </property>
  <property fmtid="{D5CDD505-2E9C-101B-9397-08002B2CF9AE}" pid="4" name="_2015_ms_pID_725343">
    <vt:lpwstr>(3)rst+EDVKlulsL9frOCc/JUoGeRkZXE3Jea8Xe4acLjXCis+9R0Jk+5AVNLaHyTN0B43sAx7R
/8T/I+de415oNwcfANox+pepe69dGnfpkcMM4SI2aF+vYZ+zTe27xOTGsMfRvrFbapXmsthk
zpUrE5Lm5r4jLXrPVLitlG50W4fb8JbRz61/f/tOANqAzeXUYxUrdzMf0YFRZBZAI9MEB/cv
P1+Mh0WaBc+aZFYk43</vt:lpwstr>
  </property>
  <property fmtid="{D5CDD505-2E9C-101B-9397-08002B2CF9AE}" pid="5" name="_2015_ms_pID_7253431">
    <vt:lpwstr>PTIwdLnxHYiiKY4KsmgRM4rM8/NhrPbRYISAN6hvz1Ia1pP7GR/If0
bnRHWoc0L48mhR7exRqj0LrhVPmFJCxQN9NujfKNS+fige070McnlIifKJv/ibtL9ZEyPvZE
vZhDmr5zX2L0csSScTqYX1ilY1URFrp7gq4A9Yr5iwrg61TTqTX+yk2TcyEbTOp0IFMD+JDt
MZ8bmUDYwH13wAT3pBcicUSSc57TSbODzMpO</vt:lpwstr>
  </property>
  <property fmtid="{D5CDD505-2E9C-101B-9397-08002B2CF9AE}" pid="6" name="_2015_ms_pID_7253432">
    <vt:lpwstr>pw==</vt:lpwstr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_readonly">
    <vt:lpwstr/>
  </property>
  <property fmtid="{D5CDD505-2E9C-101B-9397-08002B2CF9AE}" pid="10" name="sflag">
    <vt:lpwstr>1668781881</vt:lpwstr>
  </property>
</Properties>
</file>