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2319655</wp:posOffset>
            </wp:positionH>
            <wp:positionV relativeFrom="paragraph">
              <wp:posOffset>930910</wp:posOffset>
            </wp:positionV>
            <wp:extent cx="1468755" cy="1468755"/>
            <wp:effectExtent l="0" t="0" r="9525" b="952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jc w:val="both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jc w:val="both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</w:p>
    <w:p>
      <w:pPr>
        <w:spacing w:line="360" w:lineRule="auto"/>
        <w:ind w:firstLine="1800" w:firstLineChars="500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专业班级：    </w:t>
      </w:r>
      <w:r>
        <w:rPr>
          <w:rFonts w:ascii="宋体" w:hAnsi="宋体"/>
          <w:sz w:val="36"/>
          <w:szCs w:val="36"/>
        </w:rPr>
        <w:t>195202</w:t>
      </w:r>
    </w:p>
    <w:p>
      <w:pPr>
        <w:spacing w:line="360" w:lineRule="auto"/>
        <w:ind w:firstLine="1800" w:firstLineChars="500"/>
        <w:rPr>
          <w:rFonts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 xml:space="preserve">学生姓名： </w:t>
      </w:r>
      <w:r>
        <w:rPr>
          <w:rFonts w:ascii="宋体" w:hAnsi="宋体"/>
          <w:sz w:val="36"/>
          <w:szCs w:val="36"/>
        </w:rPr>
        <w:t xml:space="preserve">   </w:t>
      </w:r>
      <w:r>
        <w:rPr>
          <w:rFonts w:hint="eastAsia" w:ascii="宋体" w:hAnsi="宋体"/>
          <w:sz w:val="36"/>
          <w:szCs w:val="36"/>
        </w:rPr>
        <w:t>方寒飞</w:t>
      </w:r>
    </w:p>
    <w:p>
      <w:pPr>
        <w:spacing w:line="360" w:lineRule="auto"/>
        <w:ind w:firstLine="1800" w:firstLineChars="500"/>
        <w:rPr>
          <w:rFonts w:ascii="宋体" w:hAnsi="宋体"/>
          <w:sz w:val="36"/>
          <w:szCs w:val="36"/>
          <w:u w:val="single"/>
        </w:rPr>
      </w:pPr>
      <w:r>
        <w:rPr>
          <w:rFonts w:hint="eastAsia" w:ascii="宋体" w:hAnsi="宋体"/>
          <w:sz w:val="36"/>
          <w:szCs w:val="36"/>
        </w:rPr>
        <w:t xml:space="preserve">学生学号： </w:t>
      </w:r>
      <w:r>
        <w:rPr>
          <w:rFonts w:ascii="宋体" w:hAnsi="宋体"/>
          <w:sz w:val="36"/>
          <w:szCs w:val="36"/>
        </w:rPr>
        <w:t xml:space="preserve">  </w:t>
      </w:r>
      <w:r>
        <w:rPr>
          <w:rFonts w:hint="eastAsia" w:ascii="宋体" w:hAnsi="宋体"/>
          <w:sz w:val="36"/>
          <w:szCs w:val="36"/>
        </w:rPr>
        <w:t>2</w:t>
      </w:r>
      <w:r>
        <w:rPr>
          <w:rFonts w:ascii="宋体" w:hAnsi="宋体"/>
          <w:sz w:val="36"/>
          <w:szCs w:val="36"/>
        </w:rPr>
        <w:t>0201002538</w:t>
      </w:r>
    </w:p>
    <w:p>
      <w:pPr>
        <w:spacing w:line="360" w:lineRule="auto"/>
        <w:ind w:firstLine="1800" w:firstLineChars="500"/>
        <w:rPr>
          <w:rFonts w:ascii="宋体" w:hAnsi="宋体"/>
          <w:sz w:val="36"/>
          <w:szCs w:val="36"/>
        </w:rPr>
      </w:pPr>
      <w:r>
        <w:rPr>
          <w:rFonts w:ascii="宋体" w:hAnsi="宋体"/>
          <w:sz w:val="36"/>
          <w:szCs w:val="36"/>
        </w:rPr>
        <w:tab/>
      </w:r>
      <w:r>
        <w:rPr>
          <w:rFonts w:ascii="宋体" w:hAnsi="宋体"/>
          <w:sz w:val="36"/>
          <w:szCs w:val="36"/>
        </w:rPr>
        <w:tab/>
      </w:r>
      <w:r>
        <w:rPr>
          <w:rFonts w:ascii="宋体" w:hAnsi="宋体"/>
          <w:sz w:val="36"/>
          <w:szCs w:val="36"/>
        </w:rPr>
        <w:tab/>
      </w:r>
      <w:r>
        <w:rPr>
          <w:rFonts w:ascii="宋体" w:hAnsi="宋体"/>
          <w:sz w:val="36"/>
          <w:szCs w:val="36"/>
        </w:rPr>
        <w:tab/>
      </w:r>
      <w:r>
        <w:rPr>
          <w:rFonts w:ascii="宋体" w:hAnsi="宋体"/>
          <w:sz w:val="36"/>
          <w:szCs w:val="36"/>
        </w:rPr>
        <w:t xml:space="preserve"> </w:t>
      </w: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</w:p>
    <w:p>
      <w:pPr>
        <w:spacing w:line="360" w:lineRule="auto"/>
        <w:jc w:val="center"/>
        <w:rPr>
          <w:rFonts w:eastAsia="华文行楷"/>
          <w:b/>
          <w:sz w:val="32"/>
          <w:szCs w:val="32"/>
        </w:rPr>
      </w:pPr>
      <w:r>
        <w:rPr>
          <w:rFonts w:hint="eastAsia" w:eastAsia="华文行楷"/>
          <w:b/>
          <w:sz w:val="32"/>
          <w:szCs w:val="32"/>
        </w:rPr>
        <w:t>中国地质大学计算机学院</w:t>
      </w:r>
    </w:p>
    <w:p>
      <w:pPr>
        <w:pStyle w:val="3"/>
        <w:numPr>
          <w:ilvl w:val="0"/>
          <w:numId w:val="0"/>
        </w:numPr>
        <w:jc w:val="both"/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0605" cy="685165"/>
            <wp:effectExtent l="0" t="0" r="635" b="635"/>
            <wp:docPr id="1" name="图片 1" descr="40a1e5468802011feb4b324c6f82a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0a1e5468802011feb4b324c6f82afa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08700" cy="1062355"/>
            <wp:effectExtent l="0" t="0" r="2540" b="4445"/>
            <wp:docPr id="3" name="图片 3" descr="bfb515023a20c5ed408219292fb2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fb515023a20c5ed408219292fb252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581650" cy="1752600"/>
            <wp:effectExtent l="0" t="0" r="11430" b="0"/>
            <wp:docPr id="4" name="图片 4" descr="59e00e8ee0ec16e44a18559649485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9e00e8ee0ec16e44a18559649485ed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9375" cy="1476375"/>
            <wp:effectExtent l="0" t="0" r="1905" b="19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52295" cy="1254760"/>
            <wp:effectExtent l="0" t="0" r="6985" b="1016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71800" cy="1362075"/>
            <wp:effectExtent l="0" t="0" r="0" b="952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2275" cy="1457325"/>
            <wp:effectExtent l="0" t="0" r="9525" b="571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3200" cy="1352550"/>
            <wp:effectExtent l="0" t="0" r="0" b="3810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62250" cy="1304925"/>
            <wp:effectExtent l="0" t="0" r="11430" b="5715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38400" cy="771525"/>
            <wp:effectExtent l="0" t="0" r="0" b="5715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43325" cy="800100"/>
            <wp:effectExtent l="0" t="0" r="5715" b="7620"/>
            <wp:docPr id="14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9975" cy="4419600"/>
            <wp:effectExtent l="0" t="0" r="1905" b="0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3300" cy="1581150"/>
            <wp:effectExtent l="0" t="0" r="7620" b="3810"/>
            <wp:docPr id="15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86150" cy="1600200"/>
            <wp:effectExtent l="0" t="0" r="3810" b="0"/>
            <wp:docPr id="1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0450" cy="4105275"/>
            <wp:effectExtent l="0" t="0" r="11430" b="9525"/>
            <wp:docPr id="17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7575" cy="4695825"/>
            <wp:effectExtent l="0" t="0" r="1905" b="13335"/>
            <wp:docPr id="18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firstLine="418" w:firstLineChars="0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由于行存表和列存表的存储方式不同，它们在执行相同的SQL语句时会有不同的执行时间。在执行需要读取整行数据的SQL语句时，行存表的效率更高。因为行存表的数据在磁盘上是按行存储的，当需要读取整行的数据时，可以通过一次磁盘读取将整行数据加载到内存中，从而减少了磁盘I/O操作的次数。在执行需要读取部分列数据的SQL语句时，列存表的效率更高。因为列存表的数据在磁盘上是按列存储的，当需要读取部分列的数据时，只需要读取包含所需列的数据块，而不必读取整行数据。这可以减少磁盘I/O操作的数据量，提高查询的速度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  <w:r>
        <w:rPr>
          <w:rFonts w:hint="eastAsia" w:ascii="Huawei Sans" w:hAnsi="Huawei Sans" w:eastAsia="方正兰亭黑简体" w:cs="Huawei Sans"/>
          <w:sz w:val="21"/>
          <w:lang w:val="en-US" w:eastAsia="zh-CN" w:bidi="ar-SA"/>
        </w:rPr>
        <w:t>全量物化视图和增量物化视图之间的主要差别在于数据刷新方式、刷新频率和存储要求。全量物化视图通过重新计算和加载源表的全部数据来更新，需要读取和处理整个源表的数据，通常需要定期或按需手动刷新。相比之下，增量物化视图仅处理源表中发生变化的数据，只更新物化视图中的变化部分，刷新操作更快且可以实时或定期自动刷新。此外，全量物化视图需要足够的存储空间来容纳源表的全部数据，而增量物化视图只存储源表中变化的部分数据。</w:t>
      </w: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 Sans" w:hAnsi="Huawei Sans" w:eastAsia="方正兰亭黑简体" w:cs="Huawei Sans"/>
          <w:sz w:val="21"/>
          <w:lang w:val="en-US" w:eastAsia="zh-CN" w:bidi="ar-SA"/>
        </w:rPr>
      </w:pPr>
    </w:p>
    <w:p>
      <w:pPr>
        <w:pStyle w:val="3"/>
        <w:numPr>
          <w:ilvl w:val="0"/>
          <w:numId w:val="0"/>
        </w:numPr>
        <w:jc w:val="both"/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14700" cy="514350"/>
            <wp:effectExtent l="0" t="0" r="7620" b="3810"/>
            <wp:docPr id="1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96275" cy="4114800"/>
            <wp:effectExtent l="0" t="0" r="9525" b="0"/>
            <wp:docPr id="2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962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838825" cy="1615440"/>
            <wp:effectExtent l="0" t="0" r="13335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8225" cy="2101850"/>
            <wp:effectExtent l="0" t="0" r="8255" b="12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050280" cy="1234440"/>
            <wp:effectExtent l="0" t="0" r="0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2510" cy="1003935"/>
            <wp:effectExtent l="0" t="0" r="13970" b="190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17820" cy="2164080"/>
            <wp:effectExtent l="0" t="0" r="762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3780" cy="1885315"/>
            <wp:effectExtent l="0" t="0" r="12700" b="4445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 xml:space="preserve"> 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4983480" cy="998220"/>
            <wp:effectExtent l="0" t="0" r="0" b="762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3802380" cy="937260"/>
            <wp:effectExtent l="0" t="0" r="7620" b="762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4198620" cy="754380"/>
            <wp:effectExtent l="0" t="0" r="7620" b="762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6118225" cy="1417320"/>
            <wp:effectExtent l="0" t="0" r="8255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0605" cy="1249045"/>
            <wp:effectExtent l="0" t="0" r="635" b="63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gsql：是执行Greenplum数据库中SQL命令的客户端工具。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-d tpch：指定要连接的数据库名称为tpch。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-p 5432：指定要连接的数据库的端口号为5432。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-r：表示将查询结果以文本形式输出。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-f /opt/software/tpch-kit/dbgen/queries/queries.sql：指定要执行的查询文件的路径为/opt/software/tpch-kit/dbgen/queries/queries.sql。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&gt; /opt/software/tpch-kit/dbgen/queries/queries03.log：将查询结果输出重定向到/opt/software/tpch-kit/dbgen/queries/queries03.log文件中。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firstLine="417" w:firstLineChars="0"/>
        <w:rPr>
          <w:rFonts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t>索引在执行SQL查询时有以下好处：它们可以提高查询性能，加速查询操作，减少磁盘I/O次数，使数据库能够更快地定位和检索符合查询条件的数据，从而提高查询的执行速度。除了使用索引和参数，还有其他方面可以对数据库进行优化，如合理的表结构设计、正确的数据类型选择、适当的查询重写和优化、合理的内存和磁盘配置、并发控制和事务管理等。综合考虑这些因素，可以进一步优化数据库的性能和效率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5685" cy="1052195"/>
            <wp:effectExtent l="0" t="0" r="10795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6113145" cy="1335405"/>
            <wp:effectExtent l="0" t="0" r="13335" b="571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6112510" cy="5006340"/>
            <wp:effectExtent l="0" t="0" r="13970" b="762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firstLine="418" w:firstLineChars="0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分类模型和回归模型是机器学习中两种不同类型的预测模型。分类模型用于预测离散的类别或标签，如判断邮件是否是垃圾邮件。而回归模型则用于预测连续的数值，如预测房屋价格。区别主要在于预测目标和输出结果的性质，分类模型关注离散的类别，而回归模型关注连续的数值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</w:p>
    <w:p>
      <w:pPr>
        <w:pStyle w:val="255"/>
        <w:ind w:firstLine="418" w:firstLineChars="0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SVM算法的中文名称是支持向量机算法，是一种用于分类和回归分析的机器学习算法。它是一种非概率性的监督学习方法，其目标是通过找到一个最优的超平面（或者在高维空间中的超平面）来将不同类别的样本实例分隔开。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rFonts w:ascii="Arial" w:hAnsi="Arial" w:cs="Arial"/>
          <w:shd w:val="clear" w:color="auto" w:fill="FFFFFF"/>
        </w:rPr>
      </w:pP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</w:rPr>
        <w:t>分类问题的评价指标常见有以下几种：</w:t>
      </w:r>
    </w:p>
    <w:p>
      <w:pPr>
        <w:pStyle w:val="255"/>
        <w:numPr>
          <w:ilvl w:val="0"/>
          <w:numId w:val="17"/>
        </w:numPr>
        <w:rPr>
          <w:rFonts w:hint="eastAsia" w:ascii="Arial" w:hAnsi="Arial" w:eastAsia="方正兰亭黑简体" w:cs="Arial"/>
          <w:shd w:val="clear" w:color="auto" w:fill="FFFFFF"/>
          <w:lang w:eastAsia="zh-CN"/>
        </w:rPr>
      </w:pPr>
      <w:r>
        <w:rPr>
          <w:rFonts w:hint="eastAsia" w:ascii="Arial" w:hAnsi="Arial" w:cs="Arial"/>
          <w:shd w:val="clear" w:color="auto" w:fill="FFFFFF"/>
        </w:rPr>
        <w:t>准确率：准确率是最常用的评价指标之一，表示分类正确的样本数与总样本数之比。即准确率 = (TP + TN) / (TP + TN + FP + FN)，准确率越高，模型的分类效果越好</w:t>
      </w:r>
      <w:r>
        <w:rPr>
          <w:rFonts w:hint="eastAsia" w:ascii="Arial" w:hAnsi="Arial" w:cs="Arial"/>
          <w:shd w:val="clear" w:color="auto" w:fill="FFFFFF"/>
          <w:lang w:eastAsia="zh-CN"/>
        </w:rPr>
        <w:t>。</w:t>
      </w:r>
    </w:p>
    <w:p>
      <w:pPr>
        <w:pStyle w:val="255"/>
        <w:numPr>
          <w:ilvl w:val="0"/>
          <w:numId w:val="17"/>
        </w:numPr>
        <w:ind w:left="1021" w:leftChars="0" w:firstLine="0" w:firstLineChars="0"/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</w:rPr>
        <w:t>精确率：精确率是指模型预测为正例的样本中，真正例的比例。即精确率 = TP / (TP + FP)。精确率衡量了模型预测为正例的准确性，较高的精确率表示模型将负例误判为正例的概率较低。</w:t>
      </w:r>
    </w:p>
    <w:p>
      <w:pPr>
        <w:pStyle w:val="255"/>
        <w:numPr>
          <w:ilvl w:val="0"/>
          <w:numId w:val="17"/>
        </w:numPr>
        <w:ind w:left="1021" w:leftChars="0" w:firstLine="0" w:firstLineChars="0"/>
        <w:rPr>
          <w:rFonts w:hint="eastAsia"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</w:rPr>
        <w:t>召回率：召回率是指模型正确预测为正例的样本占真实正例的比例。即召回率 = TP / (TP + FN)。召回率衡量了模型对正例的查全率，较高的召回率表示模型更能识别出真正的正例。</w:t>
      </w:r>
    </w:p>
    <w:p>
      <w:pPr>
        <w:pStyle w:val="255"/>
        <w:numPr>
          <w:ilvl w:val="0"/>
          <w:numId w:val="17"/>
        </w:numPr>
        <w:ind w:left="1021" w:leftChars="0" w:firstLine="0" w:firstLineChars="0"/>
        <w:rPr>
          <w:rFonts w:ascii="Arial" w:hAnsi="Arial" w:cs="Arial"/>
          <w:shd w:val="clear" w:color="auto" w:fill="FFFFFF"/>
        </w:rPr>
      </w:pPr>
      <w:r>
        <w:rPr>
          <w:rFonts w:hint="eastAsia" w:ascii="Arial" w:hAnsi="Arial" w:cs="Arial"/>
          <w:shd w:val="clear" w:color="auto" w:fill="FFFFFF"/>
        </w:rPr>
        <w:t>F1值：F1值综合了精确率和召回率，是精确率和召回率的调和平均值。即 F1 = 2 * (精确率 * 召回率) / (精确率 + 召回率)。F1值在评估分类器的性能时较为常用，尤其在正负样本不平衡的情况下。</w:t>
      </w:r>
    </w:p>
    <w:p>
      <w:pPr>
        <w:pStyle w:val="255"/>
        <w:rPr>
          <w:rFonts w:ascii="Arial" w:hAnsi="Arial" w:cs="Arial"/>
          <w:shd w:val="clear" w:color="auto" w:fill="FFFFFF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rPr>
          <w:rFonts w:ascii="Huawei Sans" w:hAnsi="Huawei Sans" w:cs="Huawei Sans"/>
        </w:rPr>
      </w:pPr>
    </w:p>
    <w:p>
      <w:pPr>
        <w:numPr>
          <w:ilvl w:val="0"/>
          <w:numId w:val="18"/>
        </w:numPr>
        <w:topLinePunct w:val="0"/>
        <w:adjustRightInd/>
        <w:snapToGrid/>
        <w:spacing w:before="0" w:after="0" w:line="240" w:lineRule="auto"/>
        <w:ind w:left="840" w:leftChars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t>均方误差：均方误差是预测值与真实值之间差异的平方的平均值。MSE = (1/n) * Σ(yᵢ - ȳ)²，其中 yᵢ 是真实值，ȳ 是预测值，n 是样本数量。MSE衡量了模型预测值与真实值之间的平均偏差，数值越小表示模型拟合效果越好。</w:t>
      </w:r>
    </w:p>
    <w:p>
      <w:pPr>
        <w:numPr>
          <w:ilvl w:val="0"/>
          <w:numId w:val="18"/>
        </w:numPr>
        <w:topLinePunct w:val="0"/>
        <w:adjustRightInd/>
        <w:snapToGrid/>
        <w:spacing w:before="0" w:after="0" w:line="240" w:lineRule="auto"/>
        <w:ind w:left="840" w:leftChars="0" w:firstLine="0" w:firstLineChars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t>均方根误差：均方根误差是均方误差的平方根，即 RMSE = √MSE。RMSE与MSE相比更加直观，表示预测值与真实值之间的平均误差。</w:t>
      </w:r>
    </w:p>
    <w:p>
      <w:pPr>
        <w:numPr>
          <w:ilvl w:val="0"/>
          <w:numId w:val="18"/>
        </w:numPr>
        <w:topLinePunct w:val="0"/>
        <w:adjustRightInd/>
        <w:snapToGrid/>
        <w:spacing w:before="0" w:after="0" w:line="240" w:lineRule="auto"/>
        <w:ind w:left="840" w:leftChars="0" w:firstLine="0" w:firstLineChars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t>平均绝对误差：平均绝对误差是预测值与真实值之间差异的绝对值的平均值。MAE = (1/n) * Σ|yᵢ - ȳ|。MAE衡量了模型预测值与真实值之间的平均绝对偏差，数值越小表示模型的预测精度越高。</w:t>
      </w:r>
    </w:p>
    <w:p>
      <w:pPr>
        <w:numPr>
          <w:ilvl w:val="0"/>
          <w:numId w:val="18"/>
        </w:numPr>
        <w:topLinePunct w:val="0"/>
        <w:adjustRightInd/>
        <w:snapToGrid/>
        <w:spacing w:before="0" w:after="0" w:line="240" w:lineRule="auto"/>
        <w:ind w:left="840" w:leftChars="0" w:firstLine="0" w:firstLineChars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t>决定系数：决定系数衡量了模型对因变量变异性的解释程度。R²的取值范围在0到1之间，越接近1表示模型的拟合效果越好，能够更好地解释因变量的变异。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0000500000000000000"/>
    <w:charset w:val="86"/>
    <w:family w:val="swiss"/>
    <w:pitch w:val="default"/>
    <w:sig w:usb0="A0000287" w:usb1="180F1C13" w:usb2="00000016" w:usb3="00000000" w:csb0="6004019F" w:csb1="DFD7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1FBC17"/>
    <w:multiLevelType w:val="singleLevel"/>
    <w:tmpl w:val="841FBC1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2507209"/>
    <w:multiLevelType w:val="singleLevel"/>
    <w:tmpl w:val="02507209"/>
    <w:lvl w:ilvl="0" w:tentative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2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4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5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6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1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3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5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6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17"/>
  </w:num>
  <w:num w:numId="3">
    <w:abstractNumId w:val="7"/>
  </w:num>
  <w:num w:numId="4">
    <w:abstractNumId w:val="8"/>
  </w:num>
  <w:num w:numId="5">
    <w:abstractNumId w:val="6"/>
  </w:num>
  <w:num w:numId="6">
    <w:abstractNumId w:val="11"/>
  </w:num>
  <w:num w:numId="7">
    <w:abstractNumId w:val="2"/>
  </w:num>
  <w:num w:numId="8">
    <w:abstractNumId w:val="3"/>
  </w:num>
  <w:num w:numId="9">
    <w:abstractNumId w:val="9"/>
  </w:num>
  <w:num w:numId="10">
    <w:abstractNumId w:val="5"/>
  </w:num>
  <w:num w:numId="11">
    <w:abstractNumId w:val="13"/>
  </w:num>
  <w:num w:numId="12">
    <w:abstractNumId w:val="10"/>
  </w:num>
  <w:num w:numId="13">
    <w:abstractNumId w:val="16"/>
  </w:num>
  <w:num w:numId="14">
    <w:abstractNumId w:val="14"/>
  </w:num>
  <w:num w:numId="15">
    <w:abstractNumId w:val="15"/>
  </w:num>
  <w:num w:numId="16">
    <w:abstractNumId w:val="12"/>
  </w:num>
  <w:num w:numId="17">
    <w:abstractNumId w:val="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NmNDgyNDI2MmVjYzc3ZGQ5NjhlZjc4ODc1OWY4YzYifQ=="/>
  </w:docVars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10DB57FB"/>
    <w:rsid w:val="12527D3F"/>
    <w:rsid w:val="193A152D"/>
    <w:rsid w:val="1C5B6314"/>
    <w:rsid w:val="24D10F97"/>
    <w:rsid w:val="4097467A"/>
    <w:rsid w:val="43574906"/>
    <w:rsid w:val="4AF726BE"/>
    <w:rsid w:val="52FB48B1"/>
    <w:rsid w:val="6A771266"/>
    <w:rsid w:val="6FBB1BF5"/>
    <w:rsid w:val="7EA6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qFormat="1" w:unhideWhenUsed="0" w:uiPriority="0" w:semiHidden="0" w:name="heading 8"/>
    <w:lsdException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microsoft.com/office/2006/relationships/keyMapCustomizations" Target="customizations.xml"/><Relationship Id="rId44" Type="http://schemas.openxmlformats.org/officeDocument/2006/relationships/customXml" Target="../customXml/item4.xml"/><Relationship Id="rId43" Type="http://schemas.openxmlformats.org/officeDocument/2006/relationships/customXml" Target="../customXml/item3.xml"/><Relationship Id="rId42" Type="http://schemas.openxmlformats.org/officeDocument/2006/relationships/customXml" Target="../customXml/item2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/>
</ds:datastoreItem>
</file>

<file path=customXml/itemProps2.xml><?xml version="1.0" encoding="utf-8"?>
<ds:datastoreItem xmlns:ds="http://schemas.openxmlformats.org/officeDocument/2006/customXml" ds:itemID="{BC21252C-4A9D-4501-ACF4-B5A790D1D626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0FCD57C0-E95C-4E67-BD02-FC50ABA9F6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19</Pages>
  <Words>2948</Words>
  <Characters>6025</Characters>
  <Lines>36</Lines>
  <Paragraphs>10</Paragraphs>
  <TotalTime>10</TotalTime>
  <ScaleCrop>false</ScaleCrop>
  <LinksUpToDate>false</LinksUpToDate>
  <CharactersWithSpaces>6491</CharactersWithSpaces>
  <Application>WPS Office_11.1.0.14177_F1E327BC-269C-435d-A152-05C5408002CA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方寒飞</cp:lastModifiedBy>
  <cp:lastPrinted>2016-11-21T02:33:00Z</cp:lastPrinted>
  <dcterms:modified xsi:type="dcterms:W3CDTF">2023-06-18T08:12:33Z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(3)tGI/EB/jGtp++CzZke9N9tR7b2KoFBygt2FKXJVDy9ajOjeNO6+SQxlTFiBTAvKEnytQCES2
7Rgw3/TVdfvHz4DR8uxXSnMGRbNA770JRHBLDiy71sZ/gLP2XMjzeCSxS0KodR1ZsNSUzsJ8
BuyypfLjK7pf+bmmwWsfsfO6Vi/ReUAY8EofDZYwwfOAwzwsBQdc4N+ktwLUP6TDgnQKNyXQ
OxczpyEYdoFQjWcJH4</vt:lpwstr>
  </property>
  <property fmtid="{D5CDD505-2E9C-101B-9397-08002B2CF9AE}" pid="15" name="_2015_ms_pID_7253431">
    <vt:lpwstr>rQ9qVg0495y7C9nfWnUiiQHSUAJVscKQXnQGIn/U65FWAyTzGVrYVF
a2N1N5pWlO6mib8t6VBPFOrB//blq0RNVvsOccpdeMhctsOWVB4sPCqgcYkh58IufstFZ986
mdjCfIDdc6IxKRQ/lwWh9OTXfqEhf20I44swAGVlDGzZTvugThioy6Oo8fhxAJUA9zgKEZXj
HHBVmaErksSiu8nAlDeSMAloS4QY7yNLFNhW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ys09DygKXY5V2KTMvG2AUqo=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2052-11.1.0.14177</vt:lpwstr>
  </property>
  <property fmtid="{D5CDD505-2E9C-101B-9397-08002B2CF9AE}" pid="23" name="ICV">
    <vt:lpwstr>AEEE51BE06C14C758D909E0126927E48_12</vt:lpwstr>
  </property>
</Properties>
</file>