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sz w:val="72"/>
          <w:szCs w:val="72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 xml:space="preserve">openGauss </w:t>
      </w: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安全体系创新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实践</w:t>
      </w:r>
      <w:r>
        <w:rPr>
          <w:rFonts w:ascii="HuaweiSans-Regular" w:hAnsi="HuaweiSans-Regular" w:eastAsia="方正兰亭黑简体"/>
          <w:sz w:val="72"/>
          <w:szCs w:val="72"/>
          <w:lang w:eastAsia="zh-CN"/>
        </w:rPr>
        <w:t>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7590" cy="3461385"/>
            <wp:effectExtent l="0" t="0" r="8890" b="13335"/>
            <wp:docPr id="1" name="图片 1" descr="对数据库状态进行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对数据库状态进行验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9495" cy="3593465"/>
            <wp:effectExtent l="0" t="0" r="6985" b="3175"/>
            <wp:docPr id="3" name="图片 3" descr="对数据库进程进行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对数据库进程进行验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任务三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/>
        </w:rPr>
        <w:t>思考题1：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通过源码编译安装数据库给予了我们最大的选择权和修改权，可以根据我们自身的需要来修改配置文件以达到增减模块的目的。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</w:t>
      </w:r>
      <w:r>
        <w:rPr>
          <w:rFonts w:hint="eastAsia"/>
        </w:rPr>
        <w:t>openGauss数据导入及行存列存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050" cy="3462655"/>
            <wp:effectExtent l="0" t="0" r="11430" b="12065"/>
            <wp:docPr id="4" name="图片 4" descr="查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查询结果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789170" cy="2964180"/>
            <wp:effectExtent l="0" t="0" r="11430" b="7620"/>
            <wp:docPr id="5" name="图片 5" descr="结果和耗时的截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结果和耗时的截图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92115" cy="3408045"/>
            <wp:effectExtent l="0" t="0" r="9525" b="571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372100" cy="3325495"/>
            <wp:effectExtent l="0" t="0" r="7620" b="1206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188585" cy="3283585"/>
            <wp:effectExtent l="0" t="0" r="8255" b="8255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219700" cy="3243580"/>
            <wp:effectExtent l="0" t="0" r="7620" b="254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836795" cy="3036570"/>
            <wp:effectExtent l="0" t="0" r="9525" b="11430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244465" cy="3301365"/>
            <wp:effectExtent l="0" t="0" r="13335" b="571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335270" cy="3361690"/>
            <wp:effectExtent l="0" t="0" r="13970" b="6350"/>
            <wp:docPr id="13" name="图片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行存表与列存表在执行相同的</w:t>
      </w:r>
      <w:r>
        <w:rPr>
          <w:rFonts w:ascii="Huawei Sans" w:hAnsi="Huawei Sans" w:cs="Huawei Sans"/>
        </w:rPr>
        <w:t>SQL语句时，为何执行的时间不同？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行存表的写入是一次完成的，保证了数据的完整性，而列存表需要把一行数据分成单列保存，写入次数明显比行存表多，因此行存表时间比列存表时间要多。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在执行哪些类型SQL时，行存表效率更高？在执行哪些类型SQL时，列存表效率更高？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行存表在执行写入数据类型的sql语句时效率更高，而列存表在执行读取类型的sql语句时效率更高。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bookmarkStart w:id="0" w:name="_Toc90472385"/>
      <w:r>
        <w:rPr>
          <w:rFonts w:hint="eastAsia"/>
        </w:rPr>
        <w:t>关卡三：openGauss物化视图应用</w:t>
      </w:r>
      <w:bookmarkEnd w:id="0"/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5146040" cy="3145155"/>
            <wp:effectExtent l="0" t="0" r="5080" b="9525"/>
            <wp:docPr id="14" name="图片 14" descr="3.1查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.1查询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ind w:left="0" w:leftChars="0" w:firstLine="0" w:firstLineChars="0"/>
        <w:rPr>
          <w:rFonts w:ascii="Huawei Sans" w:hAnsi="Huawei Sans" w:eastAsia="微软雅黑" w:cs="Huawei Sans"/>
          <w:kern w:val="2"/>
          <w:szCs w:val="21"/>
        </w:rPr>
      </w:pPr>
      <w:r>
        <w:rPr>
          <w:rFonts w:hint="eastAsia" w:ascii="Huawei Sans" w:hAnsi="Huawei Sans" w:eastAsia="微软雅黑" w:cs="Huawei Sans"/>
          <w:kern w:val="2"/>
          <w:szCs w:val="21"/>
          <w:lang w:val="en-US" w:eastAsia="zh-CN"/>
        </w:rPr>
        <w:t xml:space="preserve">         </w:t>
      </w: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4751705" cy="2984500"/>
            <wp:effectExtent l="0" t="0" r="3175" b="2540"/>
            <wp:docPr id="15" name="图片 15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144770" cy="3212465"/>
            <wp:effectExtent l="0" t="0" r="6350" b="3175"/>
            <wp:docPr id="16" name="图片 16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165090" cy="3239135"/>
            <wp:effectExtent l="0" t="0" r="1270" b="6985"/>
            <wp:docPr id="17" name="图片 17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.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685" cy="3831590"/>
            <wp:effectExtent l="0" t="0" r="10795" b="8890"/>
            <wp:docPr id="18" name="图片 18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.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  <w:lang w:val="en-US" w:eastAsia="zh-CN"/>
        </w:rPr>
        <w:t>全量物化视图只支持对已经创建的物化视图进行全量更新，而不支持增量更新；增量物化视图可以对已经创建的物化视图进行增量更新。目前来说增量物化视图的应用场景相对较小。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</w:rPr>
        <w:t>物化视图适用那些使用场景？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物化视图可以用于优化查询，加速分析，适用于抽取大数据量表的某些信息和计算。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ind w:right="442"/>
      </w:pPr>
      <w:bookmarkStart w:id="1" w:name="_Toc90472392"/>
      <w:r>
        <w:rPr>
          <w:rFonts w:hint="eastAsia"/>
        </w:rPr>
        <w:t>关卡四：openGauss密态数据库</w:t>
      </w:r>
      <w:r>
        <w:t>特性应用</w:t>
      </w:r>
      <w:bookmarkEnd w:id="1"/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任务一：物化视图的使用</w:t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通过</w:t>
      </w:r>
      <w:r>
        <w:rPr>
          <w:rFonts w:ascii="Huawei Sans" w:hAnsi="Huawei Sans" w:cs="Huawei Sans"/>
        </w:rPr>
        <w:t>tcpdump</w:t>
      </w:r>
      <w:r>
        <w:rPr>
          <w:rFonts w:hint="eastAsia" w:ascii="Huawei Sans" w:hAnsi="Huawei Sans" w:cs="Huawei Sans"/>
        </w:rPr>
        <w:t>抓取数据流，</w:t>
      </w:r>
      <w:r>
        <w:rPr>
          <w:rFonts w:ascii="Huawei Sans" w:hAnsi="Huawei Sans" w:cs="Huawei Sans"/>
        </w:rPr>
        <w:t>此</w:t>
      </w:r>
      <w:r>
        <w:rPr>
          <w:rFonts w:hint="eastAsia" w:ascii="Huawei Sans" w:hAnsi="Huawei Sans" w:cs="Huawei Sans"/>
        </w:rPr>
        <w:t>p</w:t>
      </w:r>
      <w:r>
        <w:rPr>
          <w:rFonts w:ascii="Huawei Sans" w:hAnsi="Huawei Sans" w:cs="Huawei Sans"/>
        </w:rPr>
        <w:t>utty窗口暂时保持不动，将执行结果截图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4220210" cy="2644775"/>
            <wp:effectExtent l="0" t="0" r="1270" b="698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</w:pP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ascii="Huawei Sans" w:hAnsi="Huawei Sans" w:cs="Huawei Sans"/>
        </w:rPr>
        <w:t>将</w:t>
      </w:r>
      <w:r>
        <w:rPr>
          <w:rFonts w:hint="eastAsia" w:ascii="Huawei Sans" w:hAnsi="Huawei Sans" w:cs="Huawei Sans"/>
        </w:rPr>
        <w:t>加密表和非加密表查询结果</w:t>
      </w:r>
      <w:r>
        <w:rPr>
          <w:rFonts w:ascii="Huawei Sans" w:hAnsi="Huawei Sans" w:cs="Huawei Sans"/>
        </w:rPr>
        <w:t>截图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3802380" cy="2734310"/>
            <wp:effectExtent l="0" t="0" r="7620" b="8890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/>
        </w:rPr>
        <w:t>用w</w:t>
      </w:r>
      <w:r>
        <w:t>ireshark</w:t>
      </w:r>
      <w:r>
        <w:rPr>
          <w:rFonts w:hint="eastAsia"/>
        </w:rPr>
        <w:t>解析加密表</w:t>
      </w:r>
      <w:r>
        <w:t>和</w:t>
      </w:r>
      <w:r>
        <w:rPr>
          <w:rFonts w:hint="eastAsia"/>
        </w:rPr>
        <w:t>非加密表的差异时，</w:t>
      </w:r>
      <w:r>
        <w:rPr>
          <w:rFonts w:hint="eastAsia" w:ascii="Huawei Sans" w:hAnsi="Huawei Sans" w:cs="Huawei Sans"/>
        </w:rPr>
        <w:t>非加密表</w:t>
      </w:r>
      <w:r>
        <w:rPr>
          <w:rFonts w:ascii="Huawei Sans" w:hAnsi="Huawei Sans" w:cs="Huawei Sans"/>
        </w:rPr>
        <w:t>name</w:t>
      </w:r>
      <w:r>
        <w:rPr>
          <w:rFonts w:hint="eastAsia" w:ascii="Huawei Sans" w:hAnsi="Huawei Sans" w:cs="Huawei Sans"/>
        </w:rPr>
        <w:t>列和</w:t>
      </w:r>
      <w:r>
        <w:rPr>
          <w:rFonts w:ascii="Huawei Sans" w:hAnsi="Huawei Sans" w:cs="Huawei Sans"/>
        </w:rPr>
        <w:t>credit_card</w:t>
      </w:r>
      <w:r>
        <w:rPr>
          <w:rFonts w:hint="eastAsia" w:ascii="Huawei Sans" w:hAnsi="Huawei Sans" w:cs="Huawei Sans"/>
        </w:rPr>
        <w:t>列是明文</w:t>
      </w:r>
      <w:r>
        <w:rPr>
          <w:rFonts w:ascii="Huawei Sans" w:hAnsi="Huawei Sans" w:cs="Huawei Sans"/>
        </w:rPr>
        <w:t>，</w:t>
      </w:r>
      <w:r>
        <w:rPr>
          <w:rFonts w:hint="eastAsia" w:ascii="Huawei Sans" w:hAnsi="Huawei Sans" w:cs="Huawei Sans"/>
        </w:rPr>
        <w:t>加密表</w:t>
      </w:r>
      <w:r>
        <w:rPr>
          <w:rFonts w:ascii="Huawei Sans" w:hAnsi="Huawei Sans" w:cs="Huawei Sans"/>
        </w:rPr>
        <w:t>name</w:t>
      </w:r>
      <w:r>
        <w:rPr>
          <w:rFonts w:hint="eastAsia" w:ascii="Huawei Sans" w:hAnsi="Huawei Sans" w:cs="Huawei Sans"/>
        </w:rPr>
        <w:t>列和</w:t>
      </w:r>
      <w:r>
        <w:rPr>
          <w:rFonts w:ascii="Huawei Sans" w:hAnsi="Huawei Sans" w:cs="Huawei Sans"/>
        </w:rPr>
        <w:t>credit_card</w:t>
      </w:r>
      <w:r>
        <w:rPr>
          <w:rFonts w:hint="eastAsia" w:ascii="Huawei Sans" w:hAnsi="Huawei Sans" w:cs="Huawei Sans"/>
        </w:rPr>
        <w:t>列均是密文，</w:t>
      </w:r>
      <w:r>
        <w:rPr>
          <w:rFonts w:ascii="Huawei Sans" w:hAnsi="Huawei Sans" w:cs="Huawei Sans"/>
        </w:rPr>
        <w:t>将执行结果截图：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472305" cy="3658870"/>
            <wp:effectExtent l="0" t="0" r="8255" b="13970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numPr>
          <w:ilvl w:val="0"/>
          <w:numId w:val="17"/>
        </w:numPr>
      </w:pPr>
      <w:r>
        <w:t>查询加密表</w:t>
      </w:r>
      <w:r>
        <w:rPr>
          <w:rFonts w:hint="eastAsia"/>
        </w:rPr>
        <w:t>，</w:t>
      </w:r>
      <w:r>
        <w:t>查询到的结果为</w:t>
      </w:r>
      <w:r>
        <w:rPr>
          <w:rFonts w:hint="eastAsia"/>
        </w:rPr>
        <w:t>密文，</w:t>
      </w:r>
      <w:r>
        <w:t>将执行结果截图：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4598670" cy="2917190"/>
            <wp:effectExtent l="0" t="0" r="3810" b="889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</w:rPr>
        <w:t>数据实际存储在物理磁盘上的时候是明文还是密文？数据的加解密的动作是在客户端完成的还是服务端完成的？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数据以密文的形式存储在硬盘中，被访问时解密出来。客户端将加密后的密文发送到服务端，服务端通过解密得到密文</w:t>
      </w:r>
      <w:bookmarkStart w:id="2" w:name="_GoBack"/>
      <w:bookmarkEnd w:id="2"/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Palatino Linotype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5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4ED6DA9"/>
    <w:multiLevelType w:val="multilevel"/>
    <w:tmpl w:val="44ED6DA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8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0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2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4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5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6"/>
  </w:num>
  <w:num w:numId="5">
    <w:abstractNumId w:val="4"/>
  </w:num>
  <w:num w:numId="6">
    <w:abstractNumId w:val="10"/>
  </w:num>
  <w:num w:numId="7">
    <w:abstractNumId w:val="0"/>
  </w:num>
  <w:num w:numId="8">
    <w:abstractNumId w:val="1"/>
  </w:num>
  <w:num w:numId="9">
    <w:abstractNumId w:val="8"/>
  </w:num>
  <w:num w:numId="10">
    <w:abstractNumId w:val="3"/>
  </w:num>
  <w:num w:numId="11">
    <w:abstractNumId w:val="12"/>
  </w:num>
  <w:num w:numId="12">
    <w:abstractNumId w:val="9"/>
  </w:num>
  <w:num w:numId="13">
    <w:abstractNumId w:val="15"/>
  </w:num>
  <w:num w:numId="14">
    <w:abstractNumId w:val="13"/>
  </w:num>
  <w:num w:numId="15">
    <w:abstractNumId w:val="14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Q5ZTE0MDdiNWZmYjVlNjRhYzY0NWU2NjUxZWE1NmIifQ=="/>
  </w:docVars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E90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2FC8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6A94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7C61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qFormat="1"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unhideWhenUsed="0" w:uiPriority="0" w:name="Note Heading"/>
    <w:lsdException w:qFormat="1"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microsoft.com/office/2006/relationships/keyMapCustomizations" Target="customizations.xml"/><Relationship Id="rId32" Type="http://schemas.openxmlformats.org/officeDocument/2006/relationships/customXml" Target="../customXml/item4.xml"/><Relationship Id="rId31" Type="http://schemas.openxmlformats.org/officeDocument/2006/relationships/customXml" Target="../customXml/item3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DBFA21-DCED-486F-A408-77EC77BAD533}">
  <ds:schemaRefs/>
</ds:datastoreItem>
</file>

<file path=customXml/itemProps2.xml><?xml version="1.0" encoding="utf-8"?>
<ds:datastoreItem xmlns:ds="http://schemas.openxmlformats.org/officeDocument/2006/customXml" ds:itemID="{45D7D905-E2AE-4379-91E5-B62BCFCA4D08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7</Pages>
  <Words>943</Words>
  <Characters>1856</Characters>
  <Lines>15</Lines>
  <Paragraphs>4</Paragraphs>
  <TotalTime>3</TotalTime>
  <ScaleCrop>false</ScaleCrop>
  <LinksUpToDate>false</LinksUpToDate>
  <CharactersWithSpaces>1950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不言</cp:lastModifiedBy>
  <cp:lastPrinted>2016-11-21T02:33:00Z</cp:lastPrinted>
  <dcterms:modified xsi:type="dcterms:W3CDTF">2023-04-18T03:54:51Z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(3)25fcd/gn45yh9WIg0KzK5/OeHcI0Xxl2gLX/VP7GYwoEACw2pGk2tc8bhYQRMBmRWQPoeI4G
P7lB1GPQor4tXztt/FgOw+0siz7zlHxT7yExXsTNnIAlez2jKLeJurLOWvTRSaNaMUY+xuce
0ZdusPiKEbYcdtr++7Lql/Vird5MAbt9OBi6KhrNNrs9Jd5c6m+yQq0dfjVH4DagDDd4kdTn
m1UhT0r/zyTI6vH4Dc</vt:lpwstr>
  </property>
  <property fmtid="{D5CDD505-2E9C-101B-9397-08002B2CF9AE}" pid="15" name="_2015_ms_pID_7253431">
    <vt:lpwstr>BRyDQojLIFrQ+vn/CDqtcFYpMBSsHSz4Q2OsMDCn4LDUU8HnqSWJrp
0pQ9JQ5rRmpmwWNmOIivPYOYH5IeP+OCe9XhjZjmdKGJ5ut+8XVpwaD1QN5Agx15ZYZC4kvM
NVfMZFRyBLjL+ByQa68QZ1/+Kpd5S+yxWfE1nx+yjFN6Z5fVbPXxWOH7lccd/T3YpnLIxu7C
GmIl090FrdauGtGddoDg/fEzvjLyobMXtN1X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Qe8nxlLacSsMYJkea4vnRzw=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  <property fmtid="{D5CDD505-2E9C-101B-9397-08002B2CF9AE}" pid="22" name="KSOProductBuildVer">
    <vt:lpwstr>2052-11.1.0.14036</vt:lpwstr>
  </property>
  <property fmtid="{D5CDD505-2E9C-101B-9397-08002B2CF9AE}" pid="23" name="ICV">
    <vt:lpwstr>9CB0D894F9AB453E86DBC57BA0DB13E5_12</vt:lpwstr>
  </property>
</Properties>
</file>