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3780" cy="647065"/>
            <wp:effectExtent l="0" t="0" r="762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numPr>
          <w:ilvl w:val="0"/>
          <w:numId w:val="0"/>
        </w:numPr>
        <w:ind w:left="1021" w:leftChars="0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08065" cy="768985"/>
            <wp:effectExtent l="0" t="0" r="635" b="5715"/>
            <wp:docPr id="5" name="图片 5" descr="S~3$K]53VUJDZYE%}Q%$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~3$K]53VUJDZYE%}Q%$OR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numPr>
          <w:ilvl w:val="0"/>
          <w:numId w:val="17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用源码安装更稳定</w:t>
      </w:r>
    </w:p>
    <w:p>
      <w:pPr>
        <w:pStyle w:val="255"/>
        <w:numPr>
          <w:ilvl w:val="0"/>
          <w:numId w:val="17"/>
        </w:numPr>
        <w:rPr>
          <w:rFonts w:hint="eastAsia" w:ascii="Huawei Sans" w:hAnsi="Huawei Sans" w:cs="Huawei Sans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对数据库所做的调整将会更多更灵活一些，可以随意指定数据库安装目录</w:t>
      </w:r>
    </w:p>
    <w:p>
      <w:pPr>
        <w:pStyle w:val="255"/>
        <w:numPr>
          <w:ilvl w:val="0"/>
          <w:numId w:val="0"/>
        </w:numPr>
        <w:ind w:left="420" w:leftChars="0" w:firstLine="420" w:firstLineChars="0"/>
        <w:rPr>
          <w:rFonts w:hint="eastAsia" w:ascii="方正粗黑宋简体" w:hAnsi="方正粗黑宋简体" w:eastAsia="方正粗黑宋简体" w:cs="方正粗黑宋简体"/>
          <w:sz w:val="21"/>
          <w:szCs w:val="21"/>
          <w:lang w:val="en-US" w:eastAsia="zh-CN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076950" cy="1936750"/>
            <wp:effectExtent l="0" t="0" r="635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5685" cy="1360805"/>
            <wp:effectExtent l="0" t="0" r="5715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9495" cy="1022985"/>
            <wp:effectExtent l="0" t="0" r="1905" b="57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4415" cy="899160"/>
            <wp:effectExtent l="0" t="0" r="6985" b="25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8860" cy="930910"/>
            <wp:effectExtent l="0" t="0" r="2540" b="889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080000" cy="11430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5050" cy="1135380"/>
            <wp:effectExtent l="0" t="0" r="6350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181600" cy="73660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480050" cy="647700"/>
            <wp:effectExtent l="0" t="0" r="635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3397250" cy="3213100"/>
            <wp:effectExtent l="0" t="0" r="635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</w:pPr>
      <w:r>
        <w:drawing>
          <wp:inline distT="0" distB="0" distL="114300" distR="114300">
            <wp:extent cx="4248150" cy="1231900"/>
            <wp:effectExtent l="0" t="0" r="635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803650" cy="1352550"/>
            <wp:effectExtent l="0" t="0" r="6350" b="635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857500" cy="3086100"/>
            <wp:effectExtent l="0" t="0" r="0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073400" cy="3175000"/>
            <wp:effectExtent l="0" t="0" r="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420" w:leftChars="0" w:firstLine="420" w:firstLineChars="0"/>
        <w:rPr>
          <w:rFonts w:ascii="Huawei Sans" w:hAnsi="Huawei Sans" w:cs="Huawei Sans"/>
        </w:rPr>
      </w:pPr>
      <w:r>
        <w:drawing>
          <wp:inline distT="0" distB="0" distL="114300" distR="114300">
            <wp:extent cx="2749550" cy="3448050"/>
            <wp:effectExtent l="0" t="0" r="6350" b="635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numPr>
          <w:ilvl w:val="0"/>
          <w:numId w:val="18"/>
        </w:numPr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因为行存表和列存表的存储结构不同，行存表每行为一个元组，而列存表着以列为元组，行存表读取列的成本不一样，而列存表读取行的成本不一样，所以对于不同的SQL语句的执行时间不同。</w:t>
      </w:r>
    </w:p>
    <w:p>
      <w:pPr>
        <w:pStyle w:val="255"/>
        <w:numPr>
          <w:ilvl w:val="0"/>
          <w:numId w:val="18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对于查询表的明细，更新与删除的语句行存表效率更高。</w:t>
      </w:r>
    </w:p>
    <w:p>
      <w:pPr>
        <w:pStyle w:val="255"/>
        <w:numPr>
          <w:ilvl w:val="0"/>
          <w:numId w:val="18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对于对表的统计，涉及分组函数的语句列存表效率更高。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pStyle w:val="255"/>
        <w:rPr>
          <w:rFonts w:hint="eastAsia" w:ascii="方正兰亭黑简体" w:hAnsi="方正兰亭黑简体" w:cs="方正兰亭黑简体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lang w:val="en-US" w:eastAsia="zh-CN"/>
        </w:rPr>
        <w:t>刷新方式不同</w:t>
      </w:r>
      <w:r>
        <w:rPr>
          <w:rFonts w:hint="eastAsia" w:ascii="方正兰亭黑简体" w:hAnsi="方正兰亭黑简体" w:cs="方正兰亭黑简体"/>
          <w:lang w:val="en-US" w:eastAsia="zh-CN"/>
        </w:rPr>
        <w:t>。</w:t>
      </w:r>
    </w:p>
    <w:p>
      <w:pPr>
        <w:pStyle w:val="255"/>
        <w:rPr>
          <w:rFonts w:hint="eastAsia" w:ascii="方正兰亭黑简体" w:hAnsi="方正兰亭黑简体" w:eastAsia="方正兰亭黑简体" w:cs="方正兰亭黑简体"/>
          <w:sz w:val="21"/>
          <w:szCs w:val="21"/>
        </w:rPr>
      </w:pPr>
      <w:r>
        <w:rPr>
          <w:rFonts w:hint="eastAsia" w:ascii="方正兰亭黑简体" w:hAnsi="方正兰亭黑简体" w:eastAsia="方正兰亭黑简体" w:cs="方正兰亭黑简体"/>
          <w:sz w:val="21"/>
          <w:szCs w:val="21"/>
          <w:lang w:val="en-US" w:eastAsia="zh-CN"/>
        </w:rPr>
        <w:t>全量物化</w:t>
      </w:r>
      <w:r>
        <w:rPr>
          <w:rFonts w:hint="eastAsia" w:ascii="方正兰亭黑简体" w:hAnsi="方正兰亭黑简体" w:cs="方正兰亭黑简体"/>
          <w:sz w:val="21"/>
          <w:szCs w:val="21"/>
          <w:lang w:val="en-US" w:eastAsia="zh-CN"/>
        </w:rPr>
        <w:t>视图</w:t>
      </w:r>
      <w:r>
        <w:rPr>
          <w:rFonts w:hint="eastAsia" w:ascii="方正兰亭黑简体" w:hAnsi="方正兰亭黑简体" w:eastAsia="方正兰亭黑简体" w:cs="方正兰亭黑简体"/>
          <w:sz w:val="21"/>
          <w:szCs w:val="21"/>
          <w:lang w:val="en-US" w:eastAsia="zh-CN"/>
        </w:rPr>
        <w:t>会删除表中所有记录，然后</w:t>
      </w:r>
      <w:r>
        <w:rPr>
          <w:rFonts w:hint="eastAsia" w:ascii="方正兰亭黑简体" w:hAnsi="方正兰亭黑简体" w:eastAsia="方正兰亭黑简体" w:cs="方正兰亭黑简体"/>
          <w:sz w:val="21"/>
          <w:szCs w:val="21"/>
        </w:rPr>
        <w:t>根据物化视图中查询语句的定义重新生成物化视图。</w:t>
      </w:r>
    </w:p>
    <w:p>
      <w:pPr>
        <w:pStyle w:val="255"/>
        <w:rPr>
          <w:rFonts w:hint="default" w:ascii="方正兰亭黑简体" w:hAnsi="方正兰亭黑简体" w:eastAsia="方正兰亭黑简体" w:cs="方正兰亭黑简体"/>
          <w:sz w:val="21"/>
          <w:szCs w:val="21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sz w:val="21"/>
          <w:szCs w:val="21"/>
        </w:rPr>
        <w:t>增量物化视图</w:t>
      </w: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只将自上次刷新以后对基表进行的所有操作刷新到物化视图中去</w:t>
      </w:r>
      <w:r>
        <w:rPr>
          <w:rFonts w:hint="eastAsia" w:ascii="方正兰亭黑简体" w:hAnsi="方正兰亭黑简体" w:cs="方正兰亭黑简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方正兰亭黑简体" w:hAnsi="方正兰亭黑简体" w:cs="方正兰亭黑简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依赖于日志。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6955" cy="1720850"/>
            <wp:effectExtent l="0" t="0" r="44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4415" cy="1311910"/>
            <wp:effectExtent l="0" t="0" r="6985" b="889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3145" cy="1109980"/>
            <wp:effectExtent l="0" t="0" r="8255" b="762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ind w:left="420" w:leftChars="0" w:firstLine="420" w:firstLineChars="0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6120130" cy="3319780"/>
            <wp:effectExtent l="0" t="0" r="1270" b="762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13350" cy="2755900"/>
            <wp:effectExtent l="0" t="0" r="6350" b="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6117590" cy="838835"/>
            <wp:effectExtent l="0" t="0" r="3810" b="12065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4356100" cy="1593850"/>
            <wp:effectExtent l="0" t="0" r="0" b="635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3145" cy="1850390"/>
            <wp:effectExtent l="0" t="0" r="8255" b="381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 xml:space="preserve"> 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810000" cy="1009650"/>
            <wp:effectExtent l="0" t="0" r="0" b="6350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ind w:left="420" w:leftChars="0" w:firstLine="420" w:firstLineChars="0"/>
        <w:rPr>
          <w:rFonts w:hint="eastAsia"/>
        </w:rPr>
      </w:pPr>
      <w:r>
        <w:drawing>
          <wp:inline distT="0" distB="0" distL="114300" distR="114300">
            <wp:extent cx="3251200" cy="844550"/>
            <wp:effectExtent l="0" t="0" r="0" b="6350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346450" cy="749300"/>
            <wp:effectExtent l="0" t="0" r="635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6115050" cy="17583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3145" cy="1734820"/>
            <wp:effectExtent l="0" t="0" r="8255" b="5080"/>
            <wp:docPr id="40" name="图片 40" descr="MBTLR8I{TGEA4W`O6FG0C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MBTLR8I{TGEA4W`O6FG0C5R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 xml:space="preserve">优化的参数有effective_cache_size   effective_io_concurrency enable_mergejoin   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 xml:space="preserve"> enable_nestloop     max_connections   max_prepared_transactions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 xml:space="preserve"> max_process_memory   random_page_cost  shared_buffers    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 xml:space="preserve"> wal_buffers，为了优化数据库。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pStyle w:val="255"/>
        <w:numPr>
          <w:ilvl w:val="0"/>
          <w:numId w:val="19"/>
        </w:numPr>
        <w:rPr>
          <w:rFonts w:ascii="HuaweiSans-Regular" w:hAnsi="HuaweiSans-Regular" w:eastAsia="方正兰亭黑简体"/>
          <w:sz w:val="21"/>
        </w:rPr>
      </w:pPr>
      <w:r>
        <w:rPr>
          <w:rFonts w:hint="eastAsia" w:ascii="方正兰亭黑简体" w:hAnsi="方正兰亭黑简体" w:eastAsia="方正兰亭黑简体" w:cs="方正兰亭黑简体"/>
          <w:sz w:val="21"/>
          <w:szCs w:val="21"/>
          <w:lang w:val="en-US" w:eastAsia="zh-CN"/>
        </w:rPr>
        <w:t>增加查询效率，确保数据唯一性，</w:t>
      </w: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加快数据的检索速度</w:t>
      </w: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加快表之间的连接</w:t>
      </w: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减少分组和排序时间</w:t>
      </w: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55"/>
        <w:numPr>
          <w:ilvl w:val="0"/>
          <w:numId w:val="19"/>
        </w:numPr>
        <w:rPr>
          <w:rFonts w:hint="eastAsia" w:ascii="方正兰亭黑简体" w:hAnsi="方正兰亭黑简体" w:eastAsia="方正兰亭黑简体" w:cs="方正兰亭黑简体"/>
          <w:sz w:val="21"/>
          <w:szCs w:val="21"/>
        </w:rPr>
      </w:pPr>
      <w:r>
        <w:rPr>
          <w:rFonts w:hint="eastAsia" w:ascii="方正兰亭黑简体" w:hAnsi="方正兰亭黑简体" w:eastAsia="方正兰亭黑简体" w:cs="方正兰亭黑简体"/>
          <w:sz w:val="21"/>
          <w:szCs w:val="21"/>
        </w:rPr>
        <w:t>选取最适用的字段属性，使用连接来代替子查询，使用联合(UNION)来代替手动创建的临时表，利用事务，使用外键。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142865" cy="871855"/>
            <wp:effectExtent l="0" t="0" r="635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5579110" cy="1343025"/>
            <wp:effectExtent l="0" t="0" r="8890" b="317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640705" cy="1431925"/>
            <wp:effectExtent l="0" t="0" r="10795" b="3175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8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840" w:leftChars="0" w:right="0" w:firstLine="420" w:firstLineChars="0"/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分类和回归的区别在于输出变量的类型。</w:t>
      </w:r>
    </w:p>
    <w:p>
      <w:pPr>
        <w:pStyle w:val="8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840" w:leftChars="0" w:right="0" w:firstLine="420" w:firstLineChars="0"/>
        <w:rPr>
          <w:rFonts w:ascii="Huawei Sans" w:hAnsi="Huawei Sans" w:cs="Huawei Sans"/>
        </w:rPr>
      </w:pP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定量输出称为回归，或者说是连续变量预测；</w:t>
      </w: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定性输出称为分类，或者说是离散变量预测。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4B4B4B"/>
          <w:spacing w:val="0"/>
          <w:sz w:val="21"/>
          <w:szCs w:val="21"/>
          <w:shd w:val="clear" w:fill="FFFFFF"/>
        </w:rPr>
        <w:t>Svm（support Vector Mac）又称为支持向量机，是一种二分类的模型。当然如果进行修改之后也是可以用于多类别问题的分类。支持向量机可以分为线性核非线性两大类。其主要思想为找到空间中的一个更够将所有数据样本划开的超平面，并且使得本本集中所有数据到这个超平面的距离最短</w:t>
      </w:r>
      <w:r>
        <w:rPr>
          <w:rFonts w:ascii="微软雅黑" w:hAnsi="微软雅黑" w:eastAsia="微软雅黑" w:cs="微软雅黑"/>
          <w:i w:val="0"/>
          <w:iCs w:val="0"/>
          <w:caps w:val="0"/>
          <w:color w:val="4B4B4B"/>
          <w:spacing w:val="0"/>
          <w:sz w:val="13"/>
          <w:szCs w:val="13"/>
          <w:shd w:val="clear" w:fill="FFFFFF"/>
        </w:rPr>
        <w:t>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准确率=（分类正确样本）/（总样本）。</w:t>
      </w:r>
    </w:p>
    <w:p>
      <w:pPr>
        <w:pStyle w:val="255"/>
        <w:rPr>
          <w:rFonts w:hint="default" w:ascii="Arial" w:hAnsi="Arial" w:cs="Arial"/>
          <w:shd w:val="clear" w:color="auto" w:fill="FFFFFF"/>
          <w:lang w:val="en-US" w:eastAsia="zh-CN"/>
        </w:rPr>
      </w:pP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tp预测和实际同为正。</w:t>
      </w:r>
      <w:r>
        <w:rPr>
          <w:rFonts w:hint="default" w:ascii="Arial" w:hAnsi="Arial" w:cs="Arial"/>
          <w:shd w:val="clear" w:color="auto" w:fill="FFFFFF"/>
          <w:lang w:val="en-US" w:eastAsia="zh-CN"/>
        </w:rPr>
        <w:t>fp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预测为正，实际为负。</w:t>
      </w:r>
    </w:p>
    <w:p>
      <w:pPr>
        <w:pStyle w:val="255"/>
        <w:rPr>
          <w:rFonts w:hint="default" w:ascii="Arial" w:hAnsi="Arial" w:eastAsia="方正兰亭黑简体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tn预测和实际同为负。fn预测为负，实际为正。</w:t>
      </w:r>
    </w:p>
    <w:p>
      <w:pPr>
        <w:pStyle w:val="255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精确率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p=(tp)/(tp+fp),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计算我们预测出来的某类样本中，有多少是被正确预测的。针对预测样本而言。</w:t>
      </w:r>
    </w:p>
    <w:p>
      <w:pPr>
        <w:pStyle w:val="255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召回率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r=(tp)/(tp+fn),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针对原先实际样本而言，有多少样本被正确的预测出来了。</w:t>
      </w:r>
    </w:p>
    <w:p>
      <w:pPr>
        <w:pStyle w:val="255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14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lang w:val="en-US" w:eastAsia="zh-CN"/>
        </w:rPr>
        <w:t>F1</w:t>
      </w:r>
      <w:r>
        <w:rPr>
          <w:rStyle w:val="14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  <w:t>分数</w:t>
      </w:r>
      <w:r>
        <w:rPr>
          <w:rStyle w:val="141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lang w:val="en-US" w:eastAsia="zh-CN"/>
        </w:rPr>
        <w:t>=2*（p*r）/（p+r）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  <w:t>，是统计学中用来衡量二分类模型精确度的一种指标。它同时兼顾了分类模型的精确率和召回率。F1分数可以看作是模型精确率和召回率的一种加权平均，它的最大值是1，最小值是0。</w:t>
      </w: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rPr>
          <w:rFonts w:hint="eastAsia" w:ascii="Arial" w:hAnsi="Arial" w:cs="Arial"/>
          <w:shd w:val="clear" w:color="auto" w:fill="FFFFFF"/>
        </w:rPr>
      </w:pPr>
    </w:p>
    <w:p>
      <w:pPr>
        <w:pStyle w:val="8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MSE （Mean Squared Error）均方误差。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39140" cy="367665"/>
            <wp:effectExtent l="0" t="0" r="10160" b="635"/>
            <wp:docPr id="3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firstLine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方正兰亭黑简体" w:hAnsi="方正兰亭黑简体" w:eastAsia="方正兰亭黑简体" w:cs="方正兰亭黑简体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RMSE（Root Mean Squard Error）均方根误差。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4055" cy="356235"/>
            <wp:effectExtent l="0" t="0" r="4445" b="12065"/>
            <wp:docPr id="3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firstLine="0"/>
        <w:rPr>
          <w:rFonts w:ascii="宋体" w:hAnsi="宋体" w:eastAsia="宋体" w:cs="宋体"/>
          <w:sz w:val="24"/>
          <w:szCs w:val="24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MAE平均绝对误差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1350" cy="328930"/>
            <wp:effectExtent l="0" t="0" r="6350" b="1270"/>
            <wp:docPr id="3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 Squared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53745" cy="424815"/>
            <wp:effectExtent l="0" t="0" r="8255" b="6985"/>
            <wp:docPr id="3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ind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</w:pPr>
    </w:p>
    <w:p>
      <w:pPr>
        <w:pStyle w:val="83"/>
        <w:keepNext w:val="0"/>
        <w:keepLines w:val="0"/>
        <w:widowControl/>
        <w:suppressLineNumbers w:val="0"/>
        <w:shd w:val="clear" w:fill="FFFFFF"/>
        <w:spacing w:before="0" w:beforeAutospacing="0" w:after="200" w:afterAutospacing="0"/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69E76DA"/>
    <w:multiLevelType w:val="singleLevel"/>
    <w:tmpl w:val="169E76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4">
    <w:nsid w:val="18A7ACAD"/>
    <w:multiLevelType w:val="singleLevel"/>
    <w:tmpl w:val="18A7AC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6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>
    <w:nsid w:val="41B03551"/>
    <w:multiLevelType w:val="singleLevel"/>
    <w:tmpl w:val="41B035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0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11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2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6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7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8"/>
  </w:num>
  <w:num w:numId="3">
    <w:abstractNumId w:val="7"/>
  </w:num>
  <w:num w:numId="4">
    <w:abstractNumId w:val="9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10"/>
  </w:num>
  <w:num w:numId="10">
    <w:abstractNumId w:val="5"/>
  </w:num>
  <w:num w:numId="11">
    <w:abstractNumId w:val="14"/>
  </w:num>
  <w:num w:numId="12">
    <w:abstractNumId w:val="11"/>
  </w:num>
  <w:num w:numId="13">
    <w:abstractNumId w:val="17"/>
  </w:num>
  <w:num w:numId="14">
    <w:abstractNumId w:val="15"/>
  </w:num>
  <w:num w:numId="15">
    <w:abstractNumId w:val="16"/>
  </w:num>
  <w:num w:numId="16">
    <w:abstractNumId w:val="13"/>
  </w:num>
  <w:num w:numId="17">
    <w:abstractNumId w:val="4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69E5BE2"/>
    <w:rsid w:val="0ADF4A6F"/>
    <w:rsid w:val="0AE54168"/>
    <w:rsid w:val="0FBE2078"/>
    <w:rsid w:val="150A49B0"/>
    <w:rsid w:val="1A165567"/>
    <w:rsid w:val="22D35576"/>
    <w:rsid w:val="23166730"/>
    <w:rsid w:val="26145F14"/>
    <w:rsid w:val="29D33F06"/>
    <w:rsid w:val="2C525CA0"/>
    <w:rsid w:val="2CAD4DE7"/>
    <w:rsid w:val="39FA1E0C"/>
    <w:rsid w:val="43BC0209"/>
    <w:rsid w:val="463C09B7"/>
    <w:rsid w:val="48200DA0"/>
    <w:rsid w:val="4B991F60"/>
    <w:rsid w:val="4ECD4279"/>
    <w:rsid w:val="50800F93"/>
    <w:rsid w:val="512E2D95"/>
    <w:rsid w:val="52537039"/>
    <w:rsid w:val="55971DA2"/>
    <w:rsid w:val="5AC44FB4"/>
    <w:rsid w:val="5DC36F01"/>
    <w:rsid w:val="644B3C9B"/>
    <w:rsid w:val="65107B03"/>
    <w:rsid w:val="67D65D86"/>
    <w:rsid w:val="6A6C5A02"/>
    <w:rsid w:val="7430616A"/>
    <w:rsid w:val="75EF6850"/>
    <w:rsid w:val="7C65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unhideWhenUsed="0" w:uiPriority="0" w:name="List Bullet"/>
    <w:lsdException w:qFormat="1" w:unhideWhenUsed="0" w:uiPriority="0" w:name="List Number"/>
    <w:lsdException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unhideWhenUsed="0" w:uiPriority="0" w:name="List Bullet 2"/>
    <w:lsdException w:qFormat="1" w:unhideWhenUsed="0" w:uiPriority="0" w:name="List Bullet 3"/>
    <w:lsdException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unhideWhenUsed="0" w:uiPriority="0" w:name="E-mail Signature"/>
    <w:lsdException w:qFormat="1" w:unhideWhenUsed="0" w:uiPriority="0" w:name="Normal (Web)"/>
    <w:lsdException w:unhideWhenUsed="0" w:uiPriority="0" w:name="HTML Acronym"/>
    <w:lsdException w:qFormat="1" w:unhideWhenUsed="0" w:uiPriority="0" w:name="HTML Address"/>
    <w:lsdException w:unhideWhenUsed="0" w:uiPriority="0" w:name="HTML Cite"/>
    <w:lsdException w:unhideWhenUsed="0" w:uiPriority="0" w:name="HTML Code"/>
    <w:lsdException w:qFormat="1" w:unhideWhenUsed="0" w:uiPriority="0" w:name="HTML Definition"/>
    <w:lsdException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unhideWhenUsed="0" w:uiPriority="0" w:name="Table Simple 1"/>
    <w:lsdException w:unhideWhenUsed="0" w:uiPriority="0" w:name="Table Simple 2"/>
    <w:lsdException w:unhideWhenUsed="0" w:uiPriority="0" w:name="Table Simple 3"/>
    <w:lsdException w:qFormat="1" w:unhideWhenUsed="0" w:uiPriority="0" w:name="Table Classic 1"/>
    <w:lsdException w:unhideWhenUsed="0" w:uiPriority="0" w:name="Table Classic 2"/>
    <w:lsdException w:unhideWhenUsed="0" w:uiPriority="0" w:name="Table Classic 3"/>
    <w:lsdException w:unhideWhenUsed="0" w:uiPriority="0" w:name="Table Classic 4"/>
    <w:lsdException w:qFormat="1" w:unhideWhenUsed="0" w:uiPriority="0" w:name="Table Colorful 1"/>
    <w:lsdException w:unhideWhenUsed="0" w:uiPriority="0" w:name="Table Colorful 2"/>
    <w:lsdException w:qFormat="1"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unhideWhenUsed="0" w:uiPriority="0" w:name="Table Grid 2"/>
    <w:lsdException w:unhideWhenUsed="0" w:uiPriority="0" w:name="Table Grid 3"/>
    <w:lsdException w:unhideWhenUsed="0" w:uiPriority="0" w:name="Table Grid 4"/>
    <w:lsdException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unhideWhenUsed="0" w:uiPriority="0" w:name="Table List 6"/>
    <w:lsdException w:unhideWhenUsed="0" w:uiPriority="0" w:name="Table List 7"/>
    <w:lsdException w:unhideWhenUsed="0" w:uiPriority="0" w:name="Table List 8"/>
    <w:lsdException w:unhideWhenUsed="0" w:uiPriority="0" w:name="Table 3D effects 1"/>
    <w:lsdException w:unhideWhenUsed="0" w:uiPriority="0" w:name="Table 3D effects 2"/>
    <w:lsdException w:unhideWhenUsed="0" w:uiPriority="0" w:name="Table 3D effects 3"/>
    <w:lsdException w:unhideWhenUsed="0" w:uiPriority="0" w:name="Table Contemporary"/>
    <w:lsdException w:qFormat="1" w:unhideWhenUsed="0" w:uiPriority="0" w:name="Table Elegant"/>
    <w:lsdException w:unhideWhenUsed="0" w:uiPriority="0" w:name="Table Professional"/>
    <w:lsdException w:unhideWhenUsed="0" w:uiPriority="0" w:name="Table Subtle 1"/>
    <w:lsdException w:unhideWhenUsed="0" w:uiPriority="0" w:name="Table Subtle 2"/>
    <w:lsdException w:unhideWhenUsed="0" w:uiPriority="0" w:name="Table Web 1"/>
    <w:lsdException w:qFormat="1" w:unhideWhenUsed="0" w:uiPriority="0" w:name="Table Web 2"/>
    <w:lsdException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uiPriority w:val="0"/>
    <w:pPr>
      <w:spacing w:after="560"/>
    </w:pPr>
  </w:style>
  <w:style w:type="paragraph" w:customStyle="1" w:styleId="168">
    <w:name w:val="Item List"/>
    <w:link w:val="265"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uiPriority w:val="0"/>
    <w:pPr>
      <w:numPr>
        <w:ilvl w:val="0"/>
        <w:numId w:val="8"/>
      </w:numPr>
    </w:pPr>
  </w:style>
  <w:style w:type="paragraph" w:customStyle="1" w:styleId="182">
    <w:name w:val="Sub Item List Text"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1" Type="http://schemas.openxmlformats.org/officeDocument/2006/relationships/fontTable" Target="fontTable.xml"/><Relationship Id="rId50" Type="http://schemas.microsoft.com/office/2006/relationships/keyMapCustomizations" Target="customizations.xml"/><Relationship Id="rId5" Type="http://schemas.openxmlformats.org/officeDocument/2006/relationships/header" Target="header1.xml"/><Relationship Id="rId49" Type="http://schemas.openxmlformats.org/officeDocument/2006/relationships/customXml" Target="../customXml/item5.xml"/><Relationship Id="rId48" Type="http://schemas.openxmlformats.org/officeDocument/2006/relationships/customXml" Target="../customXml/item4.xml"/><Relationship Id="rId47" Type="http://schemas.openxmlformats.org/officeDocument/2006/relationships/customXml" Target="../customXml/item3.xml"/><Relationship Id="rId46" Type="http://schemas.openxmlformats.org/officeDocument/2006/relationships/customXml" Target="../customXml/item2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EEA82ABF-3C64-4AD6-A3F8-BF7B6BBD7965}">
  <ds:schemaRefs/>
</ds:datastoreItem>
</file>

<file path=customXml/itemProps5.xml><?xml version="1.0" encoding="utf-8"?>
<ds:datastoreItem xmlns:ds="http://schemas.openxmlformats.org/officeDocument/2006/customXml" ds:itemID="{0FCD57C0-E95C-4E67-BD02-FC50ABA9F6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10</Pages>
  <Words>760</Words>
  <Characters>4338</Characters>
  <Lines>36</Lines>
  <Paragraphs>10</Paragraphs>
  <TotalTime>85</TotalTime>
  <ScaleCrop>false</ScaleCrop>
  <LinksUpToDate>false</LinksUpToDate>
  <CharactersWithSpaces>5088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君子万里行</cp:lastModifiedBy>
  <cp:lastPrinted>2016-11-21T02:33:00Z</cp:lastPrinted>
  <dcterms:modified xsi:type="dcterms:W3CDTF">2021-11-14T07:31:32Z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2052-11.1.0.10938</vt:lpwstr>
  </property>
  <property fmtid="{D5CDD505-2E9C-101B-9397-08002B2CF9AE}" pid="23" name="ICV">
    <vt:lpwstr>97B36462CDA54F6BA114BE722E88C572</vt:lpwstr>
  </property>
</Properties>
</file>