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sz w:val="72"/>
          <w:szCs w:val="72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 xml:space="preserve">openGauss </w:t>
      </w: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安全体系创新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实践</w:t>
      </w:r>
      <w:r>
        <w:rPr>
          <w:rFonts w:ascii="HuaweiSans-Regular" w:hAnsi="HuaweiSans-Regular" w:eastAsia="方正兰亭黑简体"/>
          <w:sz w:val="72"/>
          <w:szCs w:val="72"/>
          <w:lang w:eastAsia="zh-CN"/>
        </w:rPr>
        <w:t>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3780" cy="5886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3145" cy="677545"/>
            <wp:effectExtent l="0" t="0" r="825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任务三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思考题1：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ind w:firstLine="418" w:firstLineChars="0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通过源码编译、安装数据库能够从最初的源码开始进行opengauss数据库的构建。在编译过程中，能够通过环境变量和配置文件对生成的程序进行控制，相较于通过其他方式安装更加灵活可靠。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openGauss数据导入及行存列存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263900" cy="11239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050" cy="912495"/>
            <wp:effectExtent l="0" t="0" r="635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685" cy="880110"/>
            <wp:effectExtent l="0" t="0" r="571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8225" cy="920750"/>
            <wp:effectExtent l="0" t="0" r="317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2510" cy="984885"/>
            <wp:effectExtent l="0" t="0" r="889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4946650" cy="1149350"/>
            <wp:effectExtent l="0" t="0" r="635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38750" cy="11747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cs="Huawei Sans"/>
        </w:rPr>
      </w:pPr>
      <w:r>
        <w:drawing>
          <wp:inline distT="0" distB="0" distL="114300" distR="114300">
            <wp:extent cx="5219700" cy="46990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</w:pPr>
      <w:r>
        <w:drawing>
          <wp:inline distT="0" distB="0" distL="114300" distR="114300">
            <wp:extent cx="5549900" cy="4699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行存表与列存表在执行相同的</w:t>
      </w:r>
      <w:r>
        <w:rPr>
          <w:rFonts w:ascii="Huawei Sans" w:hAnsi="Huawei Sans" w:cs="Huawei Sans"/>
        </w:rPr>
        <w:t>SQL语句时，为何执行的时间不同？</w:t>
      </w:r>
    </w:p>
    <w:p>
      <w:pPr>
        <w:pStyle w:val="255"/>
        <w:ind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是将数据表以行为单位进行存储，列存表则是将数据表按列进行存储。因此，在进行对某一列数据进行求和、求平均值等操作时，因为需要按列使用数据，故列存表遍历数据的时间远小于行存表。反之，在对单个数据项进行查找修改操作时，需要对全部数据进行遍历，故行存表的时间小于列存表的时间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在执行哪些类型SQL时，行存表效率更高？在执行哪些类型SQL时，列存表效率更高？</w:t>
      </w:r>
    </w:p>
    <w:p>
      <w:pPr>
        <w:pStyle w:val="255"/>
        <w:ind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在执行大量频繁的随机的增删改查操作时，或针对行去进行大量查询操作时，行存表效率更高。存在大量至针对数据列的操作时，列存表的效率更高。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bookmarkStart w:id="0" w:name="_Toc90472385"/>
      <w:r>
        <w:rPr>
          <w:rFonts w:hint="eastAsia"/>
        </w:rPr>
        <w:t>关卡三：openGauss物化视图应用</w:t>
      </w:r>
      <w:bookmarkEnd w:id="0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838450" cy="2736850"/>
            <wp:effectExtent l="0" t="0" r="635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482850" cy="812800"/>
            <wp:effectExtent l="0" t="0" r="635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374900" cy="74930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825750" cy="2635250"/>
            <wp:effectExtent l="0" t="0" r="6350" b="635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673350" cy="2755900"/>
            <wp:effectExtent l="0" t="0" r="635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597150" cy="2895600"/>
            <wp:effectExtent l="0" t="0" r="635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ind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在手动对物化视图进行刷新时，全量物化视图会对整个数据表进行遍历后刷新，而增量物化视图能够对一段时间内的增量数据进行刷新，速度更快。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</w:t>
      </w:r>
      <w:r>
        <w:rPr>
          <w:rFonts w:hint="eastAsia"/>
        </w:rPr>
        <w:t>物化视图适用那些使用场景？</w:t>
      </w:r>
    </w:p>
    <w:p>
      <w:pPr>
        <w:pStyle w:val="255"/>
        <w:ind w:firstLine="418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物化视图适用于需要对复杂的查询进行大量操作的场景。通过对待查询的数据进行存储，能够优化查询速度。</w:t>
      </w: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ind w:right="442"/>
      </w:pPr>
      <w:bookmarkStart w:id="1" w:name="_Toc90472392"/>
      <w:r>
        <w:rPr>
          <w:rFonts w:hint="eastAsia"/>
        </w:rPr>
        <w:t>关卡四：openGauss密态数据库</w:t>
      </w:r>
      <w:r>
        <w:t>特性应用</w:t>
      </w:r>
      <w:bookmarkEnd w:id="1"/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任务一：物化视图的使用</w:t>
      </w: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通过</w:t>
      </w:r>
      <w:r>
        <w:rPr>
          <w:rFonts w:ascii="Huawei Sans" w:hAnsi="Huawei Sans" w:cs="Huawei Sans"/>
        </w:rPr>
        <w:t>tcpdump</w:t>
      </w:r>
      <w:r>
        <w:rPr>
          <w:rFonts w:hint="eastAsia" w:ascii="Huawei Sans" w:hAnsi="Huawei Sans" w:cs="Huawei Sans"/>
        </w:rPr>
        <w:t>抓取数据流，</w:t>
      </w:r>
      <w:r>
        <w:rPr>
          <w:rFonts w:ascii="Huawei Sans" w:hAnsi="Huawei Sans" w:cs="Huawei Sans"/>
        </w:rPr>
        <w:t>此</w:t>
      </w:r>
      <w:r>
        <w:rPr>
          <w:rFonts w:hint="eastAsia" w:ascii="Huawei Sans" w:hAnsi="Huawei Sans" w:cs="Huawei Sans"/>
        </w:rPr>
        <w:t>p</w:t>
      </w:r>
      <w:r>
        <w:rPr>
          <w:rFonts w:ascii="Huawei Sans" w:hAnsi="Huawei Sans" w:cs="Huawei Sans"/>
        </w:rPr>
        <w:t>utty窗口暂时保持不动，将执行结果截图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</w:pPr>
      <w:r>
        <w:drawing>
          <wp:inline distT="0" distB="0" distL="114300" distR="114300">
            <wp:extent cx="6120130" cy="925830"/>
            <wp:effectExtent l="0" t="0" r="1270" b="127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ascii="Huawei Sans" w:hAnsi="Huawei Sans" w:cs="Huawei Sans"/>
        </w:rPr>
        <w:t>将</w:t>
      </w:r>
      <w:r>
        <w:rPr>
          <w:rFonts w:hint="eastAsia" w:ascii="Huawei Sans" w:hAnsi="Huawei Sans" w:cs="Huawei Sans"/>
        </w:rPr>
        <w:t>加密表和非加密表查询结果</w:t>
      </w:r>
      <w:r>
        <w:rPr>
          <w:rFonts w:ascii="Huawei Sans" w:hAnsi="Huawei Sans" w:cs="Huawei Sans"/>
        </w:rPr>
        <w:t>截图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00650" cy="2527300"/>
            <wp:effectExtent l="0" t="0" r="635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  <w:rPr>
          <w:rFonts w:ascii="Huawei Sans" w:hAnsi="Huawei Sans" w:cs="Huawei Sans"/>
        </w:rPr>
      </w:pPr>
      <w:r>
        <w:rPr>
          <w:rFonts w:hint="eastAsia"/>
        </w:rPr>
        <w:t>用w</w:t>
      </w:r>
      <w:r>
        <w:t>ireshark</w:t>
      </w:r>
      <w:r>
        <w:rPr>
          <w:rFonts w:hint="eastAsia"/>
        </w:rPr>
        <w:t>解析加密表</w:t>
      </w:r>
      <w:r>
        <w:t>和</w:t>
      </w:r>
      <w:r>
        <w:rPr>
          <w:rFonts w:hint="eastAsia"/>
        </w:rPr>
        <w:t>非加密表的差异时，</w:t>
      </w:r>
      <w:r>
        <w:rPr>
          <w:rFonts w:hint="eastAsia" w:ascii="Huawei Sans" w:hAnsi="Huawei Sans" w:cs="Huawei Sans"/>
        </w:rPr>
        <w:t>非加密表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列是明文</w:t>
      </w:r>
      <w:r>
        <w:rPr>
          <w:rFonts w:ascii="Huawei Sans" w:hAnsi="Huawei Sans" w:cs="Huawei Sans"/>
        </w:rPr>
        <w:t>，</w:t>
      </w:r>
      <w:r>
        <w:rPr>
          <w:rFonts w:hint="eastAsia" w:ascii="Huawei Sans" w:hAnsi="Huawei Sans" w:cs="Huawei Sans"/>
        </w:rPr>
        <w:t>加密表</w:t>
      </w:r>
      <w:r>
        <w:rPr>
          <w:rFonts w:ascii="Huawei Sans" w:hAnsi="Huawei Sans" w:cs="Huawei Sans"/>
        </w:rPr>
        <w:t>name</w:t>
      </w:r>
      <w:r>
        <w:rPr>
          <w:rFonts w:hint="eastAsia" w:ascii="Huawei Sans" w:hAnsi="Huawei Sans" w:cs="Huawei Sans"/>
        </w:rPr>
        <w:t>列和</w:t>
      </w:r>
      <w:r>
        <w:rPr>
          <w:rFonts w:ascii="Huawei Sans" w:hAnsi="Huawei Sans" w:cs="Huawei Sans"/>
        </w:rPr>
        <w:t>credit_card</w:t>
      </w:r>
      <w:r>
        <w:rPr>
          <w:rFonts w:hint="eastAsia" w:ascii="Huawei Sans" w:hAnsi="Huawei Sans" w:cs="Huawei Sans"/>
        </w:rPr>
        <w:t>列均是密文，</w:t>
      </w:r>
      <w:r>
        <w:rPr>
          <w:rFonts w:ascii="Huawei Sans" w:hAnsi="Huawei Sans" w:cs="Huawei Sans"/>
        </w:rPr>
        <w:t>将执行结果截图：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06795" cy="1653540"/>
            <wp:effectExtent l="0" t="0" r="1905" b="1016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numPr>
          <w:ilvl w:val="0"/>
          <w:numId w:val="17"/>
        </w:numPr>
      </w:pPr>
      <w:r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>
        <w:t>将执行结果截图：</w:t>
      </w:r>
    </w:p>
    <w:p>
      <w:pPr>
        <w:pStyle w:val="255"/>
      </w:pPr>
      <w:r>
        <w:drawing>
          <wp:inline distT="0" distB="0" distL="114300" distR="114300">
            <wp:extent cx="6112510" cy="601980"/>
            <wp:effectExtent l="0" t="0" r="8890" b="762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实践思考题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</w:t>
      </w:r>
    </w:p>
    <w:p>
      <w:pPr>
        <w:pStyle w:val="255"/>
        <w:rPr>
          <w:rFonts w:hint="eastAsia"/>
        </w:rPr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>
      <w:pPr>
        <w:pStyle w:val="255"/>
        <w:ind w:firstLine="418" w:firstLineChars="0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数据实际存储在物理磁盘上是以密文形式存储的，数据加解密的操作是在服务端完成的。</w:t>
      </w:r>
      <w:bookmarkStart w:id="2" w:name="_GoBack"/>
      <w:bookmarkEnd w:id="2"/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5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4ED6DA9"/>
    <w:multiLevelType w:val="multilevel"/>
    <w:tmpl w:val="44ED6DA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2C34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53C1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BCB0FBA"/>
    <w:rsid w:val="0BFC7090"/>
    <w:rsid w:val="15EA64E1"/>
    <w:rsid w:val="19B35DAB"/>
    <w:rsid w:val="1BE81A43"/>
    <w:rsid w:val="22987FE8"/>
    <w:rsid w:val="27F42B67"/>
    <w:rsid w:val="2B19203F"/>
    <w:rsid w:val="404C22A7"/>
    <w:rsid w:val="46821FB8"/>
    <w:rsid w:val="48AD6E5F"/>
    <w:rsid w:val="4A0E2BC0"/>
    <w:rsid w:val="4F443F90"/>
    <w:rsid w:val="4FC40734"/>
    <w:rsid w:val="550979AB"/>
    <w:rsid w:val="58753BE3"/>
    <w:rsid w:val="5D8365CC"/>
    <w:rsid w:val="71DA508F"/>
    <w:rsid w:val="7A4235C4"/>
    <w:rsid w:val="7DA6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name="index 3"/>
    <w:lsdException w:qFormat="1"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unhideWhenUsed="0" w:uiPriority="0" w:name="List Bullet"/>
    <w:lsdException w:qFormat="1"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unhideWhenUsed="0" w:uiPriority="0" w:name="List Bullet 4"/>
    <w:lsdException w:unhideWhenUsed="0" w:uiPriority="0" w:name="List Bullet 5"/>
    <w:lsdException w:qFormat="1"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unhideWhenUsed="0" w:uiPriority="0" w:name="Plain Text"/>
    <w:lsdException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unhideWhenUsed="0" w:uiPriority="0" w:name="HTML Typewriter"/>
    <w:lsdException w:qFormat="1"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unhideWhenUsed="0" w:uiPriority="0" w:name="Table Simple 2"/>
    <w:lsdException w:unhideWhenUsed="0" w:uiPriority="0" w:name="Table Simple 3"/>
    <w:lsdException w:unhideWhenUsed="0" w:uiPriority="0" w:name="Table Classic 1"/>
    <w:lsdException w:qFormat="1" w:unhideWhenUsed="0" w:uiPriority="0" w:name="Table Classic 2"/>
    <w:lsdException w:unhideWhenUsed="0" w:uiPriority="0" w:name="Table Classic 3"/>
    <w:lsdException w:unhideWhenUsed="0" w:uiPriority="0" w:name="Table Classic 4"/>
    <w:lsdException w:unhideWhenUsed="0" w:uiPriority="0" w:name="Table Colorful 1"/>
    <w:lsdException w:unhideWhenUsed="0" w:uiPriority="0" w:name="Table Colorful 2"/>
    <w:lsdException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unhideWhenUsed="0" w:uiPriority="0" w:name="Table 3D effects 1"/>
    <w:lsdException w:unhideWhenUsed="0" w:uiPriority="0" w:name="Table 3D effects 2"/>
    <w:lsdException w:unhideWhenUsed="0" w:uiPriority="0" w:name="Table 3D effects 3"/>
    <w:lsdException w:qFormat="1" w:unhideWhenUsed="0" w:uiPriority="0" w:name="Table Contemporary"/>
    <w:lsdException w:unhideWhenUsed="0" w:uiPriority="0" w:name="Table Elegant"/>
    <w:lsdException w:qFormat="1" w:unhideWhenUsed="0" w:uiPriority="0" w:name="Table Professional"/>
    <w:lsdException w:unhideWhenUsed="0" w:uiPriority="0" w:name="Table Subtle 1"/>
    <w:lsdException w:qFormat="1" w:unhideWhenUsed="0" w:uiPriority="0" w:name="Table Subtle 2"/>
    <w:lsdException w:unhideWhenUsed="0" w:uiPriority="0" w:name="Table Web 1"/>
    <w:lsdException w:qFormat="1" w:unhideWhenUsed="0" w:uiPriority="0" w:name="Table Web 2"/>
    <w:lsdException w:qFormat="1" w:unhideWhenUsed="0" w:uiPriority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uiPriority w:val="0"/>
    <w:pPr>
      <w:spacing w:before="0" w:after="0"/>
      <w:ind w:left="0"/>
    </w:pPr>
  </w:style>
  <w:style w:type="paragraph" w:styleId="58">
    <w:name w:val="envelope return"/>
    <w:basedOn w:val="1"/>
    <w:semiHidden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uiPriority w:val="0"/>
    <w:rPr>
      <w:i/>
      <w:iCs/>
    </w:rPr>
  </w:style>
  <w:style w:type="character" w:styleId="144">
    <w:name w:val="HTML Typewriter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uiPriority w:val="0"/>
    <w:pPr>
      <w:spacing w:after="560"/>
    </w:pPr>
  </w:style>
  <w:style w:type="paragraph" w:customStyle="1" w:styleId="168">
    <w:name w:val="Item List"/>
    <w:link w:val="265"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uiPriority w:val="0"/>
    <w:rPr>
      <w:sz w:val="18"/>
      <w:szCs w:val="18"/>
    </w:rPr>
  </w:style>
  <w:style w:type="paragraph" w:customStyle="1" w:styleId="185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uiPriority w:val="0"/>
    <w:pPr>
      <w:ind w:left="0"/>
    </w:pPr>
  </w:style>
  <w:style w:type="paragraph" w:customStyle="1" w:styleId="208">
    <w:name w:val="Code"/>
    <w:basedOn w:val="1"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uiPriority w:val="0"/>
    <w:pPr>
      <w:adjustRightInd w:val="0"/>
      <w:ind w:left="2410"/>
    </w:pPr>
  </w:style>
  <w:style w:type="paragraph" w:customStyle="1" w:styleId="213">
    <w:name w:val="Item list Text TD"/>
    <w:basedOn w:val="185"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uiPriority w:val="0"/>
    <w:pPr>
      <w:ind w:left="284"/>
    </w:pPr>
  </w:style>
  <w:style w:type="paragraph" w:customStyle="1" w:styleId="215">
    <w:name w:val="Appendix heading 1"/>
    <w:basedOn w:val="3"/>
    <w:next w:val="4"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uiPriority w:val="0"/>
    <w:rPr>
      <w:color w:val="0000FF"/>
    </w:rPr>
  </w:style>
  <w:style w:type="character" w:customStyle="1" w:styleId="232">
    <w:name w:val="样式 倾斜 蓝色"/>
    <w:basedOn w:val="136"/>
    <w:semiHidden/>
    <w:uiPriority w:val="0"/>
    <w:rPr>
      <w:i/>
      <w:iCs/>
      <w:color w:val="0000FF"/>
    </w:rPr>
  </w:style>
  <w:style w:type="paragraph" w:customStyle="1" w:styleId="233">
    <w:name w:val="正文+Tab"/>
    <w:basedOn w:val="1"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uiPriority w:val="0"/>
    <w:pPr>
      <w:ind w:left="2940"/>
    </w:pPr>
  </w:style>
  <w:style w:type="character" w:customStyle="1" w:styleId="237">
    <w:name w:val="样式 正文 +"/>
    <w:basedOn w:val="136"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microsoft.com/office/2006/relationships/keyMapCustomizations" Target="customizations.xml"/><Relationship Id="rId33" Type="http://schemas.openxmlformats.org/officeDocument/2006/relationships/customXml" Target="../customXml/item4.xml"/><Relationship Id="rId32" Type="http://schemas.openxmlformats.org/officeDocument/2006/relationships/customXml" Target="../customXml/item3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BFA21-DCED-486F-A408-77EC77BAD533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7</Pages>
  <Words>320</Words>
  <Characters>1826</Characters>
  <Lines>15</Lines>
  <Paragraphs>4</Paragraphs>
  <TotalTime>424</TotalTime>
  <ScaleCrop>false</ScaleCrop>
  <LinksUpToDate>false</LinksUpToDate>
  <CharactersWithSpaces>2142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iostream</cp:lastModifiedBy>
  <cp:lastPrinted>2016-11-21T02:33:00Z</cp:lastPrinted>
  <dcterms:modified xsi:type="dcterms:W3CDTF">2022-05-15T08:44:19Z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  <property fmtid="{D5CDD505-2E9C-101B-9397-08002B2CF9AE}" pid="22" name="KSOProductBuildVer">
    <vt:lpwstr>2052-11.1.0.11691</vt:lpwstr>
  </property>
  <property fmtid="{D5CDD505-2E9C-101B-9397-08002B2CF9AE}" pid="23" name="ICV">
    <vt:lpwstr>2B815334825A4D6EA8D50F41453AE6CD</vt:lpwstr>
  </property>
</Properties>
</file>