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Look w:val="0000"/>
      </w:tblPr>
      <w:tblGrid>
        <w:gridCol w:w="9355"/>
      </w:tblGrid>
      <w:tr w:rsidTr="00473A27">
        <w:tblPrEx>
          <w:tblW w:w="0" w:type="auto"/>
          <w:tblLayout w:type="fixed"/>
          <w:tblLook w:val="0000"/>
        </w:tblPrEx>
        <w:tc>
          <w:tcPr>
            <w:tcW w:w="935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top w:w="0" w:type="dxa"/>
                <w:bottom w:w="0" w:type="dxa"/>
              </w:tblCellMar>
              <w:tblLook w:val="0000"/>
            </w:tblPr>
            <w:tblGrid>
              <w:gridCol w:w="9139"/>
            </w:tblGrid>
            <w:tr w:rsidTr="00BC0F47">
              <w:tblPrEx>
                <w:tblW w:w="0" w:type="auto"/>
                <w:tblLayout w:type="fixed"/>
                <w:tblCellMar>
                  <w:top w:w="0" w:type="dxa"/>
                  <w:bottom w:w="0" w:type="dxa"/>
                </w:tblCellMar>
                <w:tblLook w:val="0000"/>
              </w:tblPrEx>
              <w:tc>
                <w:tcPr>
                  <w:tcW w:w="9139" w:type="dxa"/>
                  <w:shd w:val="clear" w:color="auto" w:fill="auto"/>
                </w:tcPr>
                <w:p w:rsidR="00BC0F47" w:rsidRPr="00BC0F47" w:rsidP="00473A27">
                  <w:pPr>
                    <w:spacing w:after="0"/>
                    <w:rPr>
                      <w:rFonts w:ascii="Times New Roman" w:eastAsia="Times New Roman" w:hAnsi="Times New Roman" w:cs="Times New Roman"/>
                      <w:color w:val="0C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C0000"/>
                      <w:sz w:val="24"/>
                      <w:szCs w:val="24"/>
                      <w:lang w:eastAsia="ru-RU"/>
                    </w:rPr>
                    <w:t>№ исх: 16-13-183Д/С   от: 31.05.2024</w:t>
                  </w:r>
                </w:p>
              </w:tc>
            </w:tr>
          </w:tbl>
          <w:p w:rsidR="005B7E11" w:rsidRPr="007B5D33" w:rsidP="00473A27">
            <w:pPr>
              <w:spacing w:after="0"/>
              <w:rPr>
                <w:rFonts w:ascii="Times New Roman" w:eastAsia="Times New Roman" w:hAnsi="Times New Roman" w:cs="Times New Roman"/>
                <w:color w:val="0C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4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-435610</wp:posOffset>
                  </wp:positionH>
                  <wp:positionV relativeFrom="paragraph">
                    <wp:posOffset>-234315</wp:posOffset>
                  </wp:positionV>
                  <wp:extent cx="6496050" cy="2724150"/>
                  <wp:effectExtent l="0" t="0" r="0" b="0"/>
                  <wp:wrapNone/>
                  <wp:docPr id="1" name="Рисунок 1" descr="блан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блан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272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P="005B7E11">
      <w:pPr>
        <w:spacing w:after="0"/>
        <w:ind w:left="637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RPr="00260005" w:rsidP="005B7E11">
      <w:pPr>
        <w:spacing w:after="0" w:line="259" w:lineRule="auto"/>
        <w:ind w:right="333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5B7E11" w:rsidP="005B7E11">
      <w:pPr>
        <w:tabs>
          <w:tab w:val="left" w:pos="9072"/>
          <w:tab w:val="left" w:pos="9214"/>
        </w:tabs>
        <w:spacing w:after="0" w:line="240" w:lineRule="auto"/>
        <w:ind w:left="6379" w:right="-2"/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</w:pPr>
    </w:p>
    <w:p w:rsidR="005B7E11" w:rsidP="005B7E11">
      <w:pPr>
        <w:tabs>
          <w:tab w:val="left" w:pos="9072"/>
          <w:tab w:val="left" w:pos="9214"/>
        </w:tabs>
        <w:spacing w:after="0" w:line="240" w:lineRule="auto"/>
        <w:ind w:right="-2"/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</w:pPr>
    </w:p>
    <w:p w:rsidR="00247429" w:rsidP="005B7E11">
      <w:pPr>
        <w:tabs>
          <w:tab w:val="left" w:pos="9072"/>
          <w:tab w:val="left" w:pos="9214"/>
        </w:tabs>
        <w:spacing w:after="0" w:line="240" w:lineRule="auto"/>
        <w:ind w:right="-2"/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</w:pPr>
    </w:p>
    <w:p w:rsidR="005B7E11" w:rsidRPr="004E102E" w:rsidP="005B7E11">
      <w:pPr>
        <w:tabs>
          <w:tab w:val="left" w:pos="9072"/>
          <w:tab w:val="left" w:pos="9214"/>
        </w:tabs>
        <w:spacing w:after="0" w:line="240" w:lineRule="auto"/>
        <w:ind w:left="6237" w:right="-2"/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</w:pPr>
      <w:r w:rsidRPr="004E102E"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  <w:t xml:space="preserve">Премьер - </w:t>
      </w:r>
      <w:r w:rsidR="006C5C00"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  <w:t>М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инистр</w:t>
      </w:r>
      <w:r w:rsidR="00E674CA"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  <w:t>у</w:t>
      </w:r>
      <w:r w:rsidRPr="004E102E"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  <w:t xml:space="preserve"> </w:t>
      </w:r>
    </w:p>
    <w:p w:rsidR="005B7E11" w:rsidRPr="004E102E" w:rsidP="005B7E11">
      <w:pPr>
        <w:tabs>
          <w:tab w:val="left" w:pos="9072"/>
          <w:tab w:val="left" w:pos="9214"/>
        </w:tabs>
        <w:spacing w:after="0" w:line="240" w:lineRule="auto"/>
        <w:ind w:left="6237" w:right="-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E10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Республики Казахстан</w:t>
      </w:r>
    </w:p>
    <w:p w:rsidR="005B7E11" w:rsidRPr="00C72E1A" w:rsidP="005B7E11">
      <w:pPr>
        <w:tabs>
          <w:tab w:val="left" w:pos="9072"/>
          <w:tab w:val="left" w:pos="9214"/>
        </w:tabs>
        <w:spacing w:after="0" w:line="240" w:lineRule="auto"/>
        <w:ind w:left="6237" w:right="-2"/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kk-KZ" w:eastAsia="ru-RU"/>
        </w:rPr>
        <w:t>БЕКТЕНОВУ О.А.</w:t>
      </w:r>
    </w:p>
    <w:p w:rsidR="005B7E11" w:rsidP="005B7E11">
      <w:pPr>
        <w:spacing w:after="0" w:line="240" w:lineRule="auto"/>
        <w:ind w:left="6096" w:right="-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B7E11" w:rsidRPr="00D3183A" w:rsidP="005B7E11">
      <w:pPr>
        <w:spacing w:after="0" w:line="240" w:lineRule="auto"/>
        <w:ind w:right="-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kk-KZ" w:eastAsia="ru-RU"/>
        </w:rPr>
      </w:pPr>
      <w:r w:rsidRPr="00E674CA">
        <w:rPr>
          <w:rFonts w:ascii="Times New Roman" w:eastAsia="Times New Roman" w:hAnsi="Times New Roman" w:cs="Times New Roman"/>
          <w:b/>
          <w:iCs/>
          <w:sz w:val="28"/>
          <w:szCs w:val="28"/>
          <w:lang w:val="kk-KZ" w:eastAsia="ru-RU"/>
        </w:rPr>
        <w:t>Уважаемый Олжас Абаевич!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74CA" w:rsidRPr="00E674CA" w:rsidP="00E674CA">
      <w:pPr>
        <w:tabs>
          <w:tab w:val="left" w:pos="963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Одной из эффективных мер по сохранению окружающей среды от промышленного загрязнения являются организация и о</w:t>
      </w:r>
      <w:r w:rsidR="00436309">
        <w:rPr>
          <w:rFonts w:ascii="Times New Roman" w:eastAsia="Times New Roman" w:hAnsi="Times New Roman" w:cs="Times New Roman"/>
          <w:sz w:val="28"/>
          <w:szCs w:val="28"/>
        </w:rPr>
        <w:t>зеленение            санитарно-</w:t>
      </w:r>
      <w:r w:rsidRPr="00E674CA">
        <w:rPr>
          <w:rFonts w:ascii="Times New Roman" w:eastAsia="Times New Roman" w:hAnsi="Times New Roman" w:cs="Times New Roman"/>
          <w:sz w:val="28"/>
          <w:szCs w:val="28"/>
        </w:rPr>
        <w:t>защитных зон промышленных предприятий.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По своему функциональному назначению санитарно-защитная зона является защитным барьером между промышленным объектом и селитебной территорией, зданиями и сооружениями жилищно-гражданского назначения в целях ослабления воздействия на них неблагоприятных факторов.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Однако имеется ряд системных вопросов в сфере организации и содержания санитарно-защитной зоны, которые не позволяют в полной мере реализовать защитную функцию санитарных зон, это: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1) отсутствие в государственном земельном кадастре сведений по границам санитарно-защитных зон, как земель с особыми условиями пользования;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 xml:space="preserve">2) отсутствие достоверных данных по степени озеленения санитарно-защитных зон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(согласно нормативным требованиям степень озеленения санитарно-защитных зон должна составлять для объектов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IV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 классов опасности – не менее 60 % площади, для объектов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II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III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 классов опасности – не менее 50 % площади, для объектов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 xml:space="preserve"> класса опасности – не менее 40 % площади)</w:t>
      </w:r>
      <w:r w:rsidRPr="00E674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3) отсутствие контроля за полнотой и качеством озеленительных работ на территории санитарно-защитных зон в проверочных листах, утверждённых совместным приказом Министра здравоохранения РК и Министра национальной экономики РК от 2 декабря 2022 года «Об утверждении критериев оценки степени риска и проверочных листов в сфере санитарно-</w:t>
      </w:r>
      <w:r w:rsidRPr="00E674CA">
        <w:rPr>
          <w:rFonts w:ascii="Times New Roman" w:eastAsia="Times New Roman" w:hAnsi="Times New Roman" w:cs="Times New Roman"/>
          <w:sz w:val="28"/>
          <w:szCs w:val="28"/>
        </w:rPr>
        <w:t>эпидемиологического благополучия населения», исключены полномочия по контролю озеленения санитарно-защитных зон, кроме радиационно-опасных объектов и производств химической промышленности.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 xml:space="preserve">Если по первому вопросу на сегодня предложение по отражению границ санитарно-защитных зон в публичной кадастровой карте ИС «Единый государственный кадастр недвижимости» прорабатывается Комитетом по управлению земельными ресурсами Министерства сельского хозяйства РК совместно с министерствами здравоохранения, промышленности и строительства, цифрового развития, инноваций и аэрокосмической промышленности в рамках исполнения поручения Первого заместителя Премьер-Министра РК Скляра Р.В. от 7 февраля 2024 года </w:t>
      </w:r>
      <w:r w:rsidRPr="00E674CA">
        <w:rPr>
          <w:rFonts w:ascii="Times New Roman" w:eastAsia="Times New Roman" w:hAnsi="Times New Roman" w:cs="Times New Roman"/>
          <w:i/>
          <w:sz w:val="28"/>
          <w:szCs w:val="28"/>
        </w:rPr>
        <w:t>(№ 11-08/Б-1474 разработан проект Дорожной карты по обеспечению соблюдения нормативных размеров проблемных санитарно-защитных зон)</w:t>
      </w:r>
      <w:r w:rsidRPr="00E674CA">
        <w:rPr>
          <w:rFonts w:ascii="Times New Roman" w:eastAsia="Times New Roman" w:hAnsi="Times New Roman" w:cs="Times New Roman"/>
          <w:sz w:val="28"/>
          <w:szCs w:val="28"/>
        </w:rPr>
        <w:t>, но остальные проблемные вопросы без соответствующего нормативного закрепления решения не находят.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Вопросы установления, проектирования, озеленения и режима использования территорий санитарно-защитных зон регулируются санитарными правилами «Санитарно-эпидемиологические требования к санитарно-защитным зонам объектов, являющихся объектами воздействия на среду обитания и здоровье человека», утвержденными приказом и.о. Министра здравоохранения РК от 11 января 2022 года № ҚР ДСМ-2 (далее – Санитарные правила).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На основании изложенного, с учетом рекомендаций членов Экологического и Общественного советов Павлодарской области, просим рассмотреть и поддержать следующие предложения о внесении изменений и дополнений в Санитарные правила и нормативные правовые акты, регулирующие проведение проверок: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1) определение для действующих предприятий степени озеленения санитарно-защитных зон с применением средств дистанционного зондирования земли, аэрофотосъемки либо натурной инвентаризации;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2) дополнить Санитарные правила детальными требованиями                                     к проектированию озеленения, процент от озеленения санитарно-защитных зон древесными насаждениями, процент озеленения кустарниковыми насаждениями, доля травянистой растительности, возможные схемы посадок насаждений;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4CA">
        <w:rPr>
          <w:rFonts w:ascii="Times New Roman" w:eastAsia="Times New Roman" w:hAnsi="Times New Roman" w:cs="Times New Roman"/>
          <w:sz w:val="28"/>
          <w:szCs w:val="28"/>
        </w:rPr>
        <w:t>3) критерии оценки степени риска в сфере санитарно-эпидемиологического благополучия населения для всех производственных объектов дополнить пунктом о контроле озеленения санитарно-защитных зон при проведении органами санитарно-эпидемиологического контроля проверочных мероприятий.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kk-KZ" w:eastAsia="ru-RU"/>
        </w:rPr>
      </w:pPr>
      <w:r w:rsidRPr="00E674CA">
        <w:rPr>
          <w:rFonts w:ascii="Times New Roman" w:eastAsia="Times New Roman" w:hAnsi="Times New Roman" w:cs="Times New Roman"/>
          <w:b/>
          <w:iCs/>
          <w:sz w:val="28"/>
          <w:szCs w:val="28"/>
          <w:lang w:val="kk-KZ" w:eastAsia="ru-RU"/>
        </w:rPr>
        <w:t>Уважаемый Олжас Абаевич!</w:t>
      </w: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kk-KZ" w:eastAsia="ru-RU"/>
        </w:rPr>
      </w:pPr>
    </w:p>
    <w:p w:rsidR="00E674CA" w:rsidRPr="00E674CA" w:rsidP="00E674CA">
      <w:pPr>
        <w:tabs>
          <w:tab w:val="left" w:pos="9639"/>
        </w:tabs>
        <w:spacing w:after="0" w:line="240" w:lineRule="auto"/>
        <w:ind w:right="49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674CA">
        <w:rPr>
          <w:rFonts w:ascii="Times New Roman" w:eastAsia="Calibri" w:hAnsi="Times New Roman" w:cs="Times New Roman"/>
          <w:sz w:val="28"/>
          <w:szCs w:val="28"/>
        </w:rPr>
        <w:t xml:space="preserve">В этой связи, просим Вас обратить внимание на указанные проблемы                        и рассмотреть наше предложение по существу для </w:t>
      </w:r>
      <w:r w:rsidRPr="00E674CA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обеспечения </w:t>
      </w:r>
      <w:r w:rsidRPr="00E674CA">
        <w:rPr>
          <w:rFonts w:ascii="Times New Roman" w:eastAsia="Calibri" w:hAnsi="Times New Roman" w:cs="Times New Roman"/>
          <w:sz w:val="28"/>
          <w:szCs w:val="28"/>
        </w:rPr>
        <w:t>санитарно-эпидемиологического благополучия населения</w:t>
      </w:r>
      <w:r w:rsidRPr="00E674CA">
        <w:rPr>
          <w:rFonts w:ascii="Times New Roman" w:eastAsia="Calibri" w:hAnsi="Times New Roman" w:cs="Times New Roman"/>
          <w:sz w:val="28"/>
          <w:szCs w:val="28"/>
          <w:lang w:val="kk-KZ"/>
        </w:rPr>
        <w:t>.</w:t>
      </w:r>
    </w:p>
    <w:p w:rsidR="00E674CA" w:rsidRPr="00E674CA" w:rsidP="00E674CA">
      <w:pPr>
        <w:shd w:val="clear" w:color="auto" w:fill="FFFFFF"/>
        <w:spacing w:after="0" w:line="240" w:lineRule="auto"/>
        <w:ind w:right="4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4C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со статьей 27 Конституционного Закона Республики Казахстан «О Парламенте Республики Казахстан и статусе его депутатов», просим предоставить ответ на депутатский запрос в сроки, предусмотренные законом.</w:t>
      </w:r>
    </w:p>
    <w:p w:rsidR="00E674CA" w:rsidRPr="00E674CA" w:rsidP="00E674CA">
      <w:pPr>
        <w:widowControl w:val="0"/>
        <w:pBdr>
          <w:bottom w:val="single" w:sz="4" w:space="22" w:color="FFFFFF"/>
        </w:pBdr>
        <w:spacing w:after="0" w:line="240" w:lineRule="auto"/>
        <w:ind w:right="4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E674CA" w:rsidRPr="00E674CA" w:rsidP="00E674CA">
      <w:pPr>
        <w:widowControl w:val="0"/>
        <w:pBdr>
          <w:bottom w:val="single" w:sz="4" w:space="22" w:color="FFFFFF"/>
        </w:pBdr>
        <w:spacing w:after="0" w:line="240" w:lineRule="auto"/>
        <w:ind w:right="49"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4CA">
        <w:rPr>
          <w:rFonts w:ascii="Times New Roman" w:eastAsia="Calibri" w:hAnsi="Times New Roman" w:cs="Times New Roman"/>
          <w:b/>
          <w:sz w:val="28"/>
          <w:szCs w:val="28"/>
        </w:rPr>
        <w:t xml:space="preserve">С уважением, </w:t>
      </w:r>
    </w:p>
    <w:p w:rsidR="00E674CA" w:rsidRPr="00E674CA" w:rsidP="00E674CA">
      <w:pPr>
        <w:widowControl w:val="0"/>
        <w:pBdr>
          <w:bottom w:val="single" w:sz="4" w:space="22" w:color="FFFFFF"/>
        </w:pBdr>
        <w:spacing w:after="0" w:line="240" w:lineRule="auto"/>
        <w:ind w:right="49" w:firstLine="709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E674CA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674CA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            </w:t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</w:t>
      </w:r>
      <w:r w:rsidRPr="00E674CA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Е. </w:t>
      </w:r>
      <w:r w:rsidRPr="00E674CA">
        <w:rPr>
          <w:rFonts w:ascii="Times New Roman" w:eastAsia="Calibri" w:hAnsi="Times New Roman" w:cs="Times New Roman"/>
          <w:b/>
          <w:sz w:val="28"/>
          <w:szCs w:val="28"/>
        </w:rPr>
        <w:t>АЙТКЕНОВ</w:t>
      </w:r>
    </w:p>
    <w:p w:rsidR="00E674CA" w:rsidRPr="00E674CA" w:rsidP="00E674CA">
      <w:pPr>
        <w:widowControl w:val="0"/>
        <w:pBdr>
          <w:bottom w:val="single" w:sz="4" w:space="22" w:color="FFFFFF"/>
        </w:pBdr>
        <w:spacing w:after="0" w:line="240" w:lineRule="auto"/>
        <w:ind w:right="49" w:firstLine="709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674CA" w:rsidP="00E674CA">
      <w:pPr>
        <w:widowControl w:val="0"/>
        <w:pBdr>
          <w:bottom w:val="single" w:sz="4" w:space="22" w:color="FFFFFF"/>
        </w:pBdr>
        <w:spacing w:after="0" w:line="240" w:lineRule="auto"/>
        <w:ind w:right="49" w:firstLine="709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E674CA">
        <w:rPr>
          <w:rFonts w:ascii="Times New Roman" w:eastAsia="Calibri" w:hAnsi="Times New Roman" w:cs="Times New Roman"/>
          <w:b/>
          <w:sz w:val="28"/>
          <w:szCs w:val="28"/>
        </w:rPr>
        <w:t>А. НУХУЛЫ</w:t>
      </w:r>
    </w:p>
    <w:p w:rsidR="00BC0F47" w:rsidP="00E674CA">
      <w:pPr>
        <w:widowControl w:val="0"/>
        <w:pBdr>
          <w:bottom w:val="single" w:sz="4" w:space="22" w:color="FFFFFF"/>
        </w:pBdr>
        <w:spacing w:after="0" w:line="240" w:lineRule="auto"/>
        <w:ind w:right="49" w:firstLine="709"/>
        <w:contextualSpacing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0F47" w:rsidRPr="00BC0F47" w:rsidP="00BC0F47">
      <w:pPr>
        <w:widowControl w:val="0"/>
        <w:pBdr>
          <w:bottom w:val="single" w:sz="4" w:space="22" w:color="FFFFFF"/>
        </w:pBdr>
        <w:spacing w:after="0" w:line="240" w:lineRule="auto"/>
        <w:ind w:right="49"/>
        <w:contextualSpacing/>
        <w:rPr>
          <w:rFonts w:ascii="Times New Roman" w:eastAsia="Calibri" w:hAnsi="Times New Roman" w:cs="Times New Roman"/>
          <w:color w:val="0C0000"/>
          <w:sz w:val="20"/>
          <w:szCs w:val="28"/>
        </w:rPr>
      </w:pPr>
      <w:r>
        <w:rPr>
          <w:rFonts w:ascii="Times New Roman" w:eastAsia="Calibri" w:hAnsi="Times New Roman" w:cs="Times New Roman"/>
          <w:b/>
          <w:color w:val="0C0000"/>
          <w:sz w:val="20"/>
          <w:szCs w:val="28"/>
        </w:rPr>
        <w:t>Результаты согласования</w:t>
      </w:r>
      <w:r>
        <w:rPr>
          <w:rFonts w:ascii="Times New Roman" w:eastAsia="Calibri" w:hAnsi="Times New Roman" w:cs="Times New Roman"/>
          <w:b/>
          <w:color w:val="0C0000"/>
          <w:sz w:val="20"/>
          <w:szCs w:val="28"/>
        </w:rPr>
        <w:br/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t>30.05.2024 15:50:47: Беккужин Р. Ж. (Отдел по взаимодействию с Комитетом по аграрным вопросам, природопользованию и развитию сельских территорий) - - cогласовано без замечаний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  <w:t>30.05.2024 15:53:07: Агиса Б. А. (Общий отдел) - - cогласовано без замечаний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  <w:t>30.05.2024 15:54:01: Айткенов Е. Н. (Комитет по аграрным вопросам, природопользованию и развитию сельских территорий) - - cогласовано без замечаний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  <w:t>30.05.2024 15:56:57: Уакпаев М. С. (Руководство Аппарата Сената) - - cогласовано без замечаний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  <w:t>30.05.2024 16:02:04: Нухулы А. . (Комитет по социально-культурному развитию и науке) - - cогласовано без замечаний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</w:r>
      <w:r>
        <w:rPr>
          <w:rFonts w:ascii="Times New Roman" w:eastAsia="Calibri" w:hAnsi="Times New Roman" w:cs="Times New Roman"/>
          <w:b/>
          <w:color w:val="0C0000"/>
          <w:sz w:val="20"/>
          <w:szCs w:val="28"/>
        </w:rPr>
        <w:t>Результат подписания</w:t>
      </w:r>
      <w:r>
        <w:rPr>
          <w:rFonts w:ascii="Times New Roman" w:eastAsia="Calibri" w:hAnsi="Times New Roman" w:cs="Times New Roman"/>
          <w:b/>
          <w:color w:val="0C0000"/>
          <w:sz w:val="20"/>
          <w:szCs w:val="28"/>
        </w:rPr>
        <w:br/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t>30.05.2024 16:05:46 Споткай М. А.. Подписано</w:t>
      </w:r>
      <w:r>
        <w:rPr>
          <w:rFonts w:ascii="Times New Roman" w:eastAsia="Calibri" w:hAnsi="Times New Roman" w:cs="Times New Roman"/>
          <w:color w:val="0C0000"/>
          <w:sz w:val="20"/>
          <w:szCs w:val="28"/>
        </w:rPr>
        <w:br/>
      </w:r>
      <w:bookmarkStart w:id="0" w:name="_GoBack"/>
      <w:bookmarkEnd w:id="0"/>
    </w:p>
    <w:sectPr w:rsidSect="00F66C2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709" w:left="1418" w:header="425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0F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0F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0F4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0F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31483631"/>
      <w:docPartObj>
        <w:docPartGallery w:val="Page Numbers (Top of Page)"/>
        <w:docPartUnique/>
      </w:docPartObj>
    </w:sdtPr>
    <w:sdtContent>
      <w:p w:rsidR="00CB237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F47">
          <w:rPr>
            <w:noProof/>
          </w:rPr>
          <w:t>3</w:t>
        </w:r>
        <w:r>
          <w:fldChar w:fldCharType="end"/>
        </w:r>
      </w:p>
    </w:sdtContent>
  </w:sdt>
  <w:p w:rsidR="00CB2373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628523</wp:posOffset>
              </wp:positionV>
              <wp:extent cx="381000" cy="8019098"/>
              <wp:effectExtent l="0" t="0" r="0" b="127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F47" w:rsidRPr="00BC0F47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30.05.2024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2049" type="#_x0000_t202" style="height:631.45pt;margin-left:494.4pt;margin-top:49.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BC0F47" w:rsidRPr="00BC0F47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30.05.2024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0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3D0DB6"/>
    <w:multiLevelType w:val="hybridMultilevel"/>
    <w:tmpl w:val="BB8A33D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tFHH3Y75GUVcbbCKH3vp3KXitF8hUw1NxlzhQ1ULjvEK3vwVDHkZeblaYA8uZrafEURIIuBU0ua7&#10;32jcJhbVjA==&#10;" w:salt="S47sRpLD7qXD8f2x7giY5g==&#10;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E1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11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5B7E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5B7E11"/>
    <w:rPr>
      <w:lang w:val="ru-RU"/>
    </w:rPr>
  </w:style>
  <w:style w:type="paragraph" w:styleId="BalloonText">
    <w:name w:val="Balloon Text"/>
    <w:basedOn w:val="Normal"/>
    <w:link w:val="a0"/>
    <w:uiPriority w:val="99"/>
    <w:semiHidden/>
    <w:unhideWhenUsed/>
    <w:rsid w:val="004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0">
    <w:name w:val="Текст выноски Знак"/>
    <w:basedOn w:val="DefaultParagraphFont"/>
    <w:link w:val="BalloonText"/>
    <w:uiPriority w:val="99"/>
    <w:semiHidden/>
    <w:rsid w:val="00436309"/>
    <w:rPr>
      <w:rFonts w:ascii="Segoe UI" w:hAnsi="Segoe UI" w:cs="Segoe UI"/>
      <w:sz w:val="18"/>
      <w:szCs w:val="18"/>
      <w:lang w:val="ru-RU"/>
    </w:rPr>
  </w:style>
  <w:style w:type="paragraph" w:styleId="Footer">
    <w:name w:val="footer"/>
    <w:basedOn w:val="Normal"/>
    <w:link w:val="a1"/>
    <w:uiPriority w:val="99"/>
    <w:unhideWhenUsed/>
    <w:rsid w:val="00BC0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BC0F4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781</Words>
  <Characters>4457</Characters>
  <Application>Microsoft Office Word</Application>
  <DocSecurity>8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5</cp:revision>
</cp:coreProperties>
</file>