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Calibri" w:cs="Calibri" w:eastAsia="Calibri" w:hAnsi="Calibri"/>
          <w:b/>
          <w:bCs/>
          <w:color w:val="1A1A2E"/>
          <w:sz w:val="96"/>
          <w:szCs w:val="96"/>
        </w:rPr>
        <w:t xml:space="preserve">SupplyX</w:t>
      </w:r>
      <w:r>
        <w:rPr>
          <w:rFonts w:ascii="Calibri" w:cs="Calibri" w:eastAsia="Calibri" w:hAnsi="Calibri"/>
          <w:b/>
          <w:bCs/>
          <w:color w:val="F59E0B"/>
          <w:sz w:val="96"/>
          <w:szCs w:val="96"/>
        </w:rPr>
        <w:t xml:space="preserve">ERP</w:t>
      </w:r>
    </w:p>
    <w:p>
      <w:pPr>
        <w:spacing w:before="160"/>
        <w:jc w:val="center"/>
      </w:pPr>
      <w:r>
        <w:rPr>
          <w:rFonts w:ascii="Calibri" w:cs="Calibri" w:eastAsia="Calibri" w:hAnsi="Calibri"/>
          <w:i/>
          <w:iCs/>
          <w:color w:val="6B7280"/>
          <w:sz w:val="36"/>
          <w:szCs w:val="36"/>
        </w:rPr>
        <w:t xml:space="preserve">Master Engineering &amp; Operations Document</w:t>
      </w:r>
    </w:p>
    <w:p>
      <w:pPr>
        <w:spacing w:before="480"/>
      </w:pPr>
      <w:r>
        <w:t xml:space="preserve"/>
      </w:r>
    </w:p>
    <w:p>
      <w:pPr>
        <w:jc w:val="center"/>
      </w:pPr>
      <w:r>
        <w:rPr>
          <w:rFonts w:ascii="Calibri" w:cs="Calibri" w:eastAsia="Calibri" w:hAnsi="Calibri"/>
          <w:color w:val="6B7280"/>
          <w:sz w:val="24"/>
          <w:szCs w:val="24"/>
        </w:rPr>
        <w:t xml:space="preserve">Version 1.0  ·  April 2026  ·  CONFIDENTIAL</w:t>
      </w:r>
    </w:p>
    <w:p>
      <w:pPr>
        <w:spacing w:before="80"/>
        <w:jc w:val="center"/>
      </w:pPr>
      <w:r>
        <w:rPr>
          <w:rFonts w:ascii="Calibri" w:cs="Calibri" w:eastAsia="Calibri" w:hAnsi="Calibri"/>
          <w:color w:val="6B7280"/>
          <w:sz w:val="24"/>
          <w:szCs w:val="24"/>
        </w:rPr>
        <w:t xml:space="preserve">Prepared for: Open Grace AI Ltd / TechLogix UK</w:t>
      </w:r>
    </w:p>
    <w:p>
      <w:pPr>
        <w:spacing w:before="80"/>
        <w:jc w:val="center"/>
      </w:pPr>
      <w:r>
        <w:rPr>
          <w:rFonts w:ascii="Calibri" w:cs="Calibri" w:eastAsia="Calibri" w:hAnsi="Calibri"/>
          <w:color w:val="6B7280"/>
          <w:sz w:val="24"/>
          <w:szCs w:val="24"/>
        </w:rPr>
        <w:t xml:space="preserve">Authored with: Claude Sonnet 4.6 (Anthropic) + Gemini 3 Flash (Antigravity)</w:t>
      </w:r>
    </w:p>
    <w:p>
      <w:r>
        <w:br w:type="page"/>
      </w:r>
    </w:p>
    <w:p>
      <w:pPr>
        <w:pStyle w:val="Heading1"/>
        <w:spacing w:after="160" w:before="480"/>
      </w:pPr>
      <w:r>
        <w:rPr>
          <w:rFonts w:ascii="Calibri" w:cs="Calibri" w:eastAsia="Calibri" w:hAnsi="Calibri"/>
          <w:b/>
          <w:bCs/>
          <w:color w:val="1A1A2E"/>
          <w:sz w:val="52"/>
          <w:szCs w:val="52"/>
        </w:rPr>
        <w:t xml:space="preserve">1. Vision &amp; Strategic Position</w:t>
      </w:r>
    </w:p>
    <w:p>
      <w:pPr>
        <w:pStyle w:val="Heading2"/>
        <w:pBdr>
          <w:bottom w:val="single" w:color="F59E0B" w:sz="4"/>
        </w:pBdr>
        <w:spacing w:after="120" w:before="360"/>
      </w:pPr>
      <w:r>
        <w:rPr>
          <w:rFonts w:ascii="Calibri" w:cs="Calibri" w:eastAsia="Calibri" w:hAnsi="Calibri"/>
          <w:b/>
          <w:bCs/>
          <w:color w:val="1A1A2E"/>
          <w:sz w:val="36"/>
          <w:szCs w:val="36"/>
        </w:rPr>
        <w:t xml:space="preserve">1.1 What SupplyXERP Is</w:t>
      </w:r>
    </w:p>
    <w:p>
      <w:pPr>
        <w:spacing w:after="80" w:before="80"/>
      </w:pPr>
      <w:r>
        <w:rPr>
          <w:rFonts w:ascii="Calibri" w:cs="Calibri" w:eastAsia="Calibri" w:hAnsi="Calibri"/>
          <w:b w:val="false"/>
          <w:bCs w:val="false"/>
          <w:i w:val="false"/>
          <w:iCs w:val="false"/>
          <w:color w:val="374151"/>
          <w:sz w:val="22"/>
          <w:szCs w:val="22"/>
        </w:rPr>
        <w:t xml:space="preserve">SupplyXERP is a production-grade, modular ERP system built for a 10-year horizon. It competes directly with SAP S/4HANA, Oracle ERP Cloud, and Odoo by delivering the same domain depth at a fraction of the implementation cost, in a fraction of the time, with a technology stack that is more maintainable and decomposable.</w:t>
      </w:r>
    </w:p>
    <w:p>
      <w:pPr>
        <w:spacing w:after="80" w:before="80"/>
      </w:pPr>
      <w:r>
        <w:rPr>
          <w:rFonts w:ascii="Calibri" w:cs="Calibri" w:eastAsia="Calibri" w:hAnsi="Calibri"/>
          <w:b w:val="false"/>
          <w:bCs w:val="false"/>
          <w:i w:val="false"/>
          <w:iCs w:val="false"/>
          <w:color w:val="374151"/>
          <w:sz w:val="22"/>
          <w:szCs w:val="22"/>
        </w:rPr>
        <w:t xml:space="preserve">It is NOT a prototype. Every architectural decision made during its build must be treated as if 10,000 clients depend on it from day one.</w:t>
      </w:r>
    </w:p>
    <w:p>
      <w:pPr>
        <w:pStyle w:val="Heading2"/>
        <w:pBdr>
          <w:bottom w:val="single" w:color="F59E0B" w:sz="4"/>
        </w:pBdr>
        <w:spacing w:after="120" w:before="360"/>
      </w:pPr>
      <w:r>
        <w:rPr>
          <w:rFonts w:ascii="Calibri" w:cs="Calibri" w:eastAsia="Calibri" w:hAnsi="Calibri"/>
          <w:b/>
          <w:bCs/>
          <w:color w:val="1A1A2E"/>
          <w:sz w:val="36"/>
          <w:szCs w:val="36"/>
        </w:rPr>
        <w:t xml:space="preserve">1.2 Strategic Advantage Over SAP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color="1A1A2E" w:val="solid"/>
          </w:tcPr>
          <w:p>
            <w:r>
              <w:rPr>
                <w:rFonts w:ascii="Calibri" w:cs="Calibri" w:eastAsia="Calibri" w:hAnsi="Calibri"/>
                <w:b/>
                <w:bCs/>
                <w:color w:val="FFFFFF"/>
                <w:sz w:val="19"/>
                <w:szCs w:val="19"/>
              </w:rPr>
              <w:t xml:space="preserve">Dimension</w:t>
            </w:r>
          </w:p>
        </w:tc>
        <w:tc>
          <w:tcPr>
            <w:tcW w:type="dxa" w:w="3200"/>
            <w:shd w:color="1A1A2E" w:val="solid"/>
          </w:tcPr>
          <w:p>
            <w:r>
              <w:rPr>
                <w:rFonts w:ascii="Calibri" w:cs="Calibri" w:eastAsia="Calibri" w:hAnsi="Calibri"/>
                <w:b/>
                <w:bCs/>
                <w:color w:val="FFFFFF"/>
                <w:sz w:val="19"/>
                <w:szCs w:val="19"/>
              </w:rPr>
              <w:t xml:space="preserve">SAP S/4HANA</w:t>
            </w:r>
          </w:p>
        </w:tc>
        <w:tc>
          <w:tcPr>
            <w:tcW w:type="dxa" w:w="3000"/>
            <w:shd w:color="1A1A2E" w:val="solid"/>
          </w:tcPr>
          <w:p>
            <w:r>
              <w:rPr>
                <w:rFonts w:ascii="Calibri" w:cs="Calibri" w:eastAsia="Calibri" w:hAnsi="Calibri"/>
                <w:b/>
                <w:bCs/>
                <w:color w:val="FFFFFF"/>
                <w:sz w:val="19"/>
                <w:szCs w:val="19"/>
              </w:rPr>
              <w:t xml:space="preserve">SupplyXERP</w:t>
            </w:r>
          </w:p>
        </w:tc>
      </w:tr>
      <w:tr>
        <w:trPr>
          <w:tblHeader w:val="false"/>
        </w:trPr>
        <w:tc>
          <w:tcPr>
            <w:tcW w:type="dxa" w:w="2800"/>
          </w:tcPr>
          <w:p>
            <w:r>
              <w:rPr>
                <w:rFonts w:ascii="Calibri" w:cs="Calibri" w:eastAsia="Calibri" w:hAnsi="Calibri"/>
                <w:b w:val="false"/>
                <w:bCs w:val="false"/>
                <w:color w:val="374151"/>
                <w:sz w:val="19"/>
                <w:szCs w:val="19"/>
              </w:rPr>
              <w:t xml:space="preserve">Implementation time</w:t>
            </w:r>
          </w:p>
        </w:tc>
        <w:tc>
          <w:tcPr>
            <w:tcW w:type="dxa" w:w="3200"/>
          </w:tcPr>
          <w:p>
            <w:r>
              <w:rPr>
                <w:rFonts w:ascii="Calibri" w:cs="Calibri" w:eastAsia="Calibri" w:hAnsi="Calibri"/>
                <w:b w:val="false"/>
                <w:bCs w:val="false"/>
                <w:color w:val="374151"/>
                <w:sz w:val="19"/>
                <w:szCs w:val="19"/>
              </w:rPr>
              <w:t xml:space="preserve">12–36 months</w:t>
            </w:r>
          </w:p>
        </w:tc>
        <w:tc>
          <w:tcPr>
            <w:tcW w:type="dxa" w:w="3000"/>
          </w:tcPr>
          <w:p>
            <w:r>
              <w:rPr>
                <w:rFonts w:ascii="Calibri" w:cs="Calibri" w:eastAsia="Calibri" w:hAnsi="Calibri"/>
                <w:b w:val="false"/>
                <w:bCs w:val="false"/>
                <w:color w:val="374151"/>
                <w:sz w:val="19"/>
                <w:szCs w:val="19"/>
              </w:rPr>
              <w:t xml:space="preserve">Days to weeks per module</w:t>
            </w:r>
          </w:p>
        </w:tc>
      </w:tr>
      <w:tr>
        <w:trPr>
          <w:tblHeader w:val="false"/>
        </w:trPr>
        <w:tc>
          <w:tcPr>
            <w:tcW w:type="dxa" w:w="2800"/>
          </w:tcPr>
          <w:p>
            <w:r>
              <w:rPr>
                <w:rFonts w:ascii="Calibri" w:cs="Calibri" w:eastAsia="Calibri" w:hAnsi="Calibri"/>
                <w:b w:val="false"/>
                <w:bCs w:val="false"/>
                <w:color w:val="374151"/>
                <w:sz w:val="19"/>
                <w:szCs w:val="19"/>
              </w:rPr>
              <w:t xml:space="preserve">Cost (single module)</w:t>
            </w:r>
          </w:p>
        </w:tc>
        <w:tc>
          <w:tcPr>
            <w:tcW w:type="dxa" w:w="3200"/>
          </w:tcPr>
          <w:p>
            <w:r>
              <w:rPr>
                <w:rFonts w:ascii="Calibri" w:cs="Calibri" w:eastAsia="Calibri" w:hAnsi="Calibri"/>
                <w:b w:val="false"/>
                <w:bCs w:val="false"/>
                <w:color w:val="374151"/>
                <w:sz w:val="19"/>
                <w:szCs w:val="19"/>
              </w:rPr>
              <w:t xml:space="preserve">£50k–£500k</w:t>
            </w:r>
          </w:p>
        </w:tc>
        <w:tc>
          <w:tcPr>
            <w:tcW w:type="dxa" w:w="3000"/>
          </w:tcPr>
          <w:p>
            <w:r>
              <w:rPr>
                <w:rFonts w:ascii="Calibri" w:cs="Calibri" w:eastAsia="Calibri" w:hAnsi="Calibri"/>
                <w:b w:val="false"/>
                <w:bCs w:val="false"/>
                <w:color w:val="374151"/>
                <w:sz w:val="19"/>
                <w:szCs w:val="19"/>
              </w:rPr>
              <w:t xml:space="preserve">Subscription or licence fee</w:t>
            </w:r>
          </w:p>
        </w:tc>
      </w:tr>
      <w:tr>
        <w:trPr>
          <w:tblHeader w:val="false"/>
        </w:trPr>
        <w:tc>
          <w:tcPr>
            <w:tcW w:type="dxa" w:w="2800"/>
          </w:tcPr>
          <w:p>
            <w:r>
              <w:rPr>
                <w:rFonts w:ascii="Calibri" w:cs="Calibri" w:eastAsia="Calibri" w:hAnsi="Calibri"/>
                <w:b w:val="false"/>
                <w:bCs w:val="false"/>
                <w:color w:val="374151"/>
                <w:sz w:val="19"/>
                <w:szCs w:val="19"/>
              </w:rPr>
              <w:t xml:space="preserve">Modularity</w:t>
            </w:r>
          </w:p>
        </w:tc>
        <w:tc>
          <w:tcPr>
            <w:tcW w:type="dxa" w:w="3200"/>
          </w:tcPr>
          <w:p>
            <w:r>
              <w:rPr>
                <w:rFonts w:ascii="Calibri" w:cs="Calibri" w:eastAsia="Calibri" w:hAnsi="Calibri"/>
                <w:b w:val="false"/>
                <w:bCs w:val="false"/>
                <w:color w:val="374151"/>
                <w:sz w:val="19"/>
                <w:szCs w:val="19"/>
              </w:rPr>
              <w:t xml:space="preserve">Licensing only — full stack always installed</w:t>
            </w:r>
          </w:p>
        </w:tc>
        <w:tc>
          <w:tcPr>
            <w:tcW w:type="dxa" w:w="3000"/>
          </w:tcPr>
          <w:p>
            <w:r>
              <w:rPr>
                <w:rFonts w:ascii="Calibri" w:cs="Calibri" w:eastAsia="Calibri" w:hAnsi="Calibri"/>
                <w:b w:val="false"/>
                <w:bCs w:val="false"/>
                <w:color w:val="374151"/>
                <w:sz w:val="19"/>
                <w:szCs w:val="19"/>
              </w:rPr>
              <w:t xml:space="preserve">True capability gate — client sees only what they bought</w:t>
            </w:r>
          </w:p>
        </w:tc>
      </w:tr>
      <w:tr>
        <w:trPr>
          <w:tblHeader w:val="false"/>
        </w:trPr>
        <w:tc>
          <w:tcPr>
            <w:tcW w:type="dxa" w:w="2800"/>
          </w:tcPr>
          <w:p>
            <w:r>
              <w:rPr>
                <w:rFonts w:ascii="Calibri" w:cs="Calibri" w:eastAsia="Calibri" w:hAnsi="Calibri"/>
                <w:b w:val="false"/>
                <w:bCs w:val="false"/>
                <w:color w:val="374151"/>
                <w:sz w:val="19"/>
                <w:szCs w:val="19"/>
              </w:rPr>
              <w:t xml:space="preserve">Add a module later</w:t>
            </w:r>
          </w:p>
        </w:tc>
        <w:tc>
          <w:tcPr>
            <w:tcW w:type="dxa" w:w="3200"/>
          </w:tcPr>
          <w:p>
            <w:r>
              <w:rPr>
                <w:rFonts w:ascii="Calibri" w:cs="Calibri" w:eastAsia="Calibri" w:hAnsi="Calibri"/>
                <w:b w:val="false"/>
                <w:bCs w:val="false"/>
                <w:color w:val="374151"/>
                <w:sz w:val="19"/>
                <w:szCs w:val="19"/>
              </w:rPr>
              <w:t xml:space="preserve">6-month project</w:t>
            </w:r>
          </w:p>
        </w:tc>
        <w:tc>
          <w:tcPr>
            <w:tcW w:type="dxa" w:w="3000"/>
          </w:tcPr>
          <w:p>
            <w:r>
              <w:rPr>
                <w:rFonts w:ascii="Calibri" w:cs="Calibri" w:eastAsia="Calibri" w:hAnsi="Calibri"/>
                <w:b w:val="false"/>
                <w:bCs w:val="false"/>
                <w:color w:val="374151"/>
                <w:sz w:val="19"/>
                <w:szCs w:val="19"/>
              </w:rPr>
              <w:t xml:space="preserve">Admin toggles it on — live immediately</w:t>
            </w:r>
          </w:p>
        </w:tc>
      </w:tr>
      <w:tr>
        <w:trPr>
          <w:tblHeader w:val="false"/>
        </w:trPr>
        <w:tc>
          <w:tcPr>
            <w:tcW w:type="dxa" w:w="2800"/>
          </w:tcPr>
          <w:p>
            <w:r>
              <w:rPr>
                <w:rFonts w:ascii="Calibri" w:cs="Calibri" w:eastAsia="Calibri" w:hAnsi="Calibri"/>
                <w:b w:val="false"/>
                <w:bCs w:val="false"/>
                <w:color w:val="374151"/>
                <w:sz w:val="19"/>
                <w:szCs w:val="19"/>
              </w:rPr>
              <w:t xml:space="preserve">Technology</w:t>
            </w:r>
          </w:p>
        </w:tc>
        <w:tc>
          <w:tcPr>
            <w:tcW w:type="dxa" w:w="3200"/>
          </w:tcPr>
          <w:p>
            <w:r>
              <w:rPr>
                <w:rFonts w:ascii="Calibri" w:cs="Calibri" w:eastAsia="Calibri" w:hAnsi="Calibri"/>
                <w:b w:val="false"/>
                <w:bCs w:val="false"/>
                <w:color w:val="374151"/>
                <w:sz w:val="19"/>
                <w:szCs w:val="19"/>
              </w:rPr>
              <w:t xml:space="preserve">ABAP (1970s), Java, HANA</w:t>
            </w:r>
          </w:p>
        </w:tc>
        <w:tc>
          <w:tcPr>
            <w:tcW w:type="dxa" w:w="3000"/>
          </w:tcPr>
          <w:p>
            <w:r>
              <w:rPr>
                <w:rFonts w:ascii="Calibri" w:cs="Calibri" w:eastAsia="Calibri" w:hAnsi="Calibri"/>
                <w:b w:val="false"/>
                <w:bCs w:val="false"/>
                <w:color w:val="374151"/>
                <w:sz w:val="19"/>
                <w:szCs w:val="19"/>
              </w:rPr>
              <w:t xml:space="preserve">Go 1.22, PostgreSQL 16, React 19</w:t>
            </w:r>
          </w:p>
        </w:tc>
      </w:tr>
      <w:tr>
        <w:trPr>
          <w:tblHeader w:val="false"/>
        </w:trPr>
        <w:tc>
          <w:tcPr>
            <w:tcW w:type="dxa" w:w="2800"/>
          </w:tcPr>
          <w:p>
            <w:r>
              <w:rPr>
                <w:rFonts w:ascii="Calibri" w:cs="Calibri" w:eastAsia="Calibri" w:hAnsi="Calibri"/>
                <w:b w:val="false"/>
                <w:bCs w:val="false"/>
                <w:color w:val="374151"/>
                <w:sz w:val="19"/>
                <w:szCs w:val="19"/>
              </w:rPr>
              <w:t xml:space="preserve">Multi-tenant</w:t>
            </w:r>
          </w:p>
        </w:tc>
        <w:tc>
          <w:tcPr>
            <w:tcW w:type="dxa" w:w="3200"/>
          </w:tcPr>
          <w:p>
            <w:r>
              <w:rPr>
                <w:rFonts w:ascii="Calibri" w:cs="Calibri" w:eastAsia="Calibri" w:hAnsi="Calibri"/>
                <w:b w:val="false"/>
                <w:bCs w:val="false"/>
                <w:color w:val="374151"/>
                <w:sz w:val="19"/>
                <w:szCs w:val="19"/>
              </w:rPr>
              <w:t xml:space="preserve">Separate instances per client</w:t>
            </w:r>
          </w:p>
        </w:tc>
        <w:tc>
          <w:tcPr>
            <w:tcW w:type="dxa" w:w="3000"/>
          </w:tcPr>
          <w:p>
            <w:r>
              <w:rPr>
                <w:rFonts w:ascii="Calibri" w:cs="Calibri" w:eastAsia="Calibri" w:hAnsi="Calibri"/>
                <w:b w:val="false"/>
                <w:bCs w:val="false"/>
                <w:color w:val="374151"/>
                <w:sz w:val="19"/>
                <w:szCs w:val="19"/>
              </w:rPr>
              <w:t xml:space="preserve">Row-Level Security — one cluster</w:t>
            </w:r>
          </w:p>
        </w:tc>
      </w:tr>
      <w:tr>
        <w:trPr>
          <w:tblHeader w:val="false"/>
        </w:trPr>
        <w:tc>
          <w:tcPr>
            <w:tcW w:type="dxa" w:w="2800"/>
          </w:tcPr>
          <w:p>
            <w:r>
              <w:rPr>
                <w:rFonts w:ascii="Calibri" w:cs="Calibri" w:eastAsia="Calibri" w:hAnsi="Calibri"/>
                <w:b w:val="false"/>
                <w:bCs w:val="false"/>
                <w:color w:val="374151"/>
                <w:sz w:val="19"/>
                <w:szCs w:val="19"/>
              </w:rPr>
              <w:t xml:space="preserve">Open source components</w:t>
            </w:r>
          </w:p>
        </w:tc>
        <w:tc>
          <w:tcPr>
            <w:tcW w:type="dxa" w:w="3200"/>
          </w:tcPr>
          <w:p>
            <w:r>
              <w:rPr>
                <w:rFonts w:ascii="Calibri" w:cs="Calibri" w:eastAsia="Calibri" w:hAnsi="Calibri"/>
                <w:b w:val="false"/>
                <w:bCs w:val="false"/>
                <w:color w:val="374151"/>
                <w:sz w:val="19"/>
                <w:szCs w:val="19"/>
              </w:rPr>
              <w:t xml:space="preserve">None</w:t>
            </w:r>
          </w:p>
        </w:tc>
        <w:tc>
          <w:tcPr>
            <w:tcW w:type="dxa" w:w="3000"/>
          </w:tcPr>
          <w:p>
            <w:r>
              <w:rPr>
                <w:rFonts w:ascii="Calibri" w:cs="Calibri" w:eastAsia="Calibri" w:hAnsi="Calibri"/>
                <w:b w:val="false"/>
                <w:bCs w:val="false"/>
                <w:color w:val="374151"/>
                <w:sz w:val="19"/>
                <w:szCs w:val="19"/>
              </w:rPr>
              <w:t xml:space="preserve">100% — no vendor lock-in</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1.3 The Seven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Module</w:t>
            </w:r>
          </w:p>
        </w:tc>
        <w:tc>
          <w:tcPr>
            <w:tcW w:type="dxa" w:w="6500"/>
            <w:shd w:color="1A1A2E" w:val="solid"/>
            <w:vAlign w:val="center"/>
          </w:tcPr>
          <w:p>
            <w:r>
              <w:rPr>
                <w:rFonts w:ascii="Calibri" w:cs="Calibri" w:eastAsia="Calibri" w:hAnsi="Calibri"/>
                <w:b/>
                <w:bCs/>
                <w:color w:val="FFFFFF"/>
                <w:sz w:val="20"/>
                <w:szCs w:val="20"/>
              </w:rPr>
              <w:t xml:space="preserve">Description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Material Hub (MM)</w:t>
            </w:r>
          </w:p>
        </w:tc>
        <w:tc>
          <w:tcPr>
            <w:tcW w:type="dxa" w:w="6500"/>
            <w:vAlign w:val="center"/>
          </w:tcPr>
          <w:p>
            <w:r>
              <w:rPr>
                <w:rFonts w:ascii="Calibri" w:cs="Calibri" w:eastAsia="Calibri" w:hAnsi="Calibri"/>
                <w:b w:val="false"/>
                <w:bCs w:val="false"/>
                <w:color w:val="374151"/>
                <w:sz w:val="20"/>
                <w:szCs w:val="20"/>
              </w:rPr>
              <w:t xml:space="preserve">Material master, suppliers, RFQ cycle, purchase orders, goods receipt, adjustments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StockFlow (WM)</w:t>
            </w:r>
          </w:p>
        </w:tc>
        <w:tc>
          <w:tcPr>
            <w:tcW w:type="dxa" w:w="6500"/>
            <w:vAlign w:val="center"/>
          </w:tcPr>
          <w:p>
            <w:r>
              <w:rPr>
                <w:rFonts w:ascii="Calibri" w:cs="Calibri" w:eastAsia="Calibri" w:hAnsi="Calibri"/>
                <w:b w:val="false"/>
                <w:bCs w:val="false"/>
                <w:color w:val="374151"/>
                <w:sz w:val="20"/>
                <w:szCs w:val="20"/>
              </w:rPr>
              <w:t xml:space="preserve">Warehouse operations, handling units, putaway, picking, scanning</w:t>
            </w:r>
          </w:p>
        </w:tc>
      </w:tr>
      <w:tr>
        <w:trPr>
          <w:tblHeader w:val="false"/>
        </w:trPr>
        <w:tc>
          <w:tcPr>
            <w:tcW w:type="dxa" w:w="3000"/>
            <w:vAlign w:val="center"/>
          </w:tcPr>
          <w:p>
            <w:r>
              <w:rPr>
                <w:rFonts w:ascii="Calibri" w:cs="Calibri" w:eastAsia="Calibri" w:hAnsi="Calibri"/>
                <w:b w:val="false"/>
                <w:bCs w:val="false"/>
                <w:color w:val="111111"/>
                <w:sz w:val="20"/>
                <w:szCs w:val="20"/>
              </w:rPr>
              <w:t xml:space="preserve">LedgerStock (IM)</w:t>
            </w:r>
          </w:p>
        </w:tc>
        <w:tc>
          <w:tcPr>
            <w:tcW w:type="dxa" w:w="6500"/>
            <w:vAlign w:val="center"/>
          </w:tcPr>
          <w:p>
            <w:r>
              <w:rPr>
                <w:rFonts w:ascii="Calibri" w:cs="Calibri" w:eastAsia="Calibri" w:hAnsi="Calibri"/>
                <w:b w:val="false"/>
                <w:bCs w:val="false"/>
                <w:color w:val="374151"/>
                <w:sz w:val="20"/>
                <w:szCs w:val="20"/>
              </w:rPr>
              <w:t xml:space="preserve">Inventory ledger, stock overview, movement history, real-time balances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BuildOrder (PP)</w:t>
            </w:r>
          </w:p>
        </w:tc>
        <w:tc>
          <w:tcPr>
            <w:tcW w:type="dxa" w:w="6500"/>
            <w:vAlign w:val="center"/>
          </w:tcPr>
          <w:p>
            <w:r>
              <w:rPr>
                <w:rFonts w:ascii="Calibri" w:cs="Calibri" w:eastAsia="Calibri" w:hAnsi="Calibri"/>
                <w:b w:val="false"/>
                <w:bCs w:val="false"/>
                <w:color w:val="374151"/>
                <w:sz w:val="20"/>
                <w:szCs w:val="20"/>
              </w:rPr>
              <w:t xml:space="preserve">Production planning, bill of materials, build orders, component issue, output confirmation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Quality Gate (QM)</w:t>
            </w:r>
          </w:p>
        </w:tc>
        <w:tc>
          <w:tcPr>
            <w:tcW w:type="dxa" w:w="6500"/>
            <w:vAlign w:val="center"/>
          </w:tcPr>
          <w:p>
            <w:r>
              <w:rPr>
                <w:rFonts w:ascii="Calibri" w:cs="Calibri" w:eastAsia="Calibri" w:hAnsi="Calibri"/>
                <w:b w:val="false"/>
                <w:bCs w:val="false"/>
                <w:color w:val="374151"/>
                <w:sz w:val="20"/>
                <w:szCs w:val="20"/>
              </w:rPr>
              <w:t xml:space="preserve">Inspection lots, findings, pass/fail/conditional, vendor score auto-update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DealFlow (SD)</w:t>
            </w:r>
          </w:p>
        </w:tc>
        <w:tc>
          <w:tcPr>
            <w:tcW w:type="dxa" w:w="6500"/>
            <w:vAlign w:val="center"/>
          </w:tcPr>
          <w:p>
            <w:r>
              <w:rPr>
                <w:rFonts w:ascii="Calibri" w:cs="Calibri" w:eastAsia="Calibri" w:hAnsi="Calibri"/>
                <w:b w:val="false"/>
                <w:bCs w:val="false"/>
                <w:color w:val="374151"/>
                <w:sz w:val="20"/>
                <w:szCs w:val="20"/>
              </w:rPr>
              <w:t xml:space="preserve">Sales orders, customer master, order confirmation, shipment trigger</w:t>
            </w:r>
          </w:p>
        </w:tc>
      </w:tr>
      <w:tr>
        <w:trPr>
          <w:tblHeader w:val="false"/>
        </w:trPr>
        <w:tc>
          <w:tcPr>
            <w:tcW w:type="dxa" w:w="3000"/>
            <w:vAlign w:val="center"/>
          </w:tcPr>
          <w:p>
            <w:r>
              <w:rPr>
                <w:rFonts w:ascii="Calibri" w:cs="Calibri" w:eastAsia="Calibri" w:hAnsi="Calibri"/>
                <w:b w:val="false"/>
                <w:bCs w:val="false"/>
                <w:color w:val="111111"/>
                <w:sz w:val="20"/>
                <w:szCs w:val="20"/>
              </w:rPr>
              <w:t xml:space="preserve">RouteRunner (TM)</w:t>
            </w:r>
          </w:p>
        </w:tc>
        <w:tc>
          <w:tcPr>
            <w:tcW w:type="dxa" w:w="6500"/>
            <w:vAlign w:val="center"/>
          </w:tcPr>
          <w:p>
            <w:r>
              <w:rPr>
                <w:rFonts w:ascii="Calibri" w:cs="Calibri" w:eastAsia="Calibri" w:hAnsi="Calibri"/>
                <w:b w:val="false"/>
                <w:bCs w:val="false"/>
                <w:color w:val="374151"/>
                <w:sz w:val="20"/>
                <w:szCs w:val="20"/>
              </w:rPr>
              <w:t xml:space="preserve">Shipments, carrier management, dispatch, delivery confirmation</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1.4 The Non-Negotiables</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No raw SQL string concatenation — sqlc only</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No direct stock balance updates — inventory_events is append-only</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No microservices — one Go binary, decomposable by design</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No placeholder functions returning hardcoded data in production</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TypeScript strict mode — no 'any' types anywhere</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Security by default — no CORS wildcard in production</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Every Go file edit followed by compile gate — zero tolerance for broken builds</w:t>
      </w:r>
    </w:p>
    <w:p>
      <w:pPr>
        <w:shd w:color="FEF3C7" w:val="solid"/>
        <w:spacing w:after="120" w:before="120"/>
      </w:pPr>
      <w:r>
        <w:rPr>
          <w:rFonts w:ascii="Calibri" w:cs="Calibri" w:eastAsia="Calibri" w:hAnsi="Calibri"/>
          <w:b/>
          <w:bCs/>
          <w:color w:val="1A1A2E"/>
          <w:sz w:val="21"/>
          <w:szCs w:val="21"/>
        </w:rPr>
        <w:t xml:space="preserve">🔒 NON-NEGOTIABLE  </w:t>
      </w:r>
      <w:r>
        <w:rPr>
          <w:rFonts w:ascii="Calibri" w:cs="Calibri" w:eastAsia="Calibri" w:hAnsi="Calibri"/>
          <w:color w:val="1A1A2E"/>
          <w:sz w:val="21"/>
          <w:szCs w:val="21"/>
        </w:rPr>
        <w:t xml:space="preserve">Audit-first — every mutation logged with before+after state, actor, timestamp, IP</w:t>
      </w:r>
    </w:p>
    <w:p>
      <w:r>
        <w:br w:type="page"/>
      </w:r>
    </w:p>
    <w:p>
      <w:pPr>
        <w:pStyle w:val="Heading1"/>
        <w:spacing w:after="160" w:before="480"/>
      </w:pPr>
      <w:r>
        <w:rPr>
          <w:rFonts w:ascii="Calibri" w:cs="Calibri" w:eastAsia="Calibri" w:hAnsi="Calibri"/>
          <w:b/>
          <w:bCs/>
          <w:color w:val="1A1A2E"/>
          <w:sz w:val="52"/>
          <w:szCs w:val="52"/>
        </w:rPr>
        <w:t xml:space="preserve">2. Technology Stack — Frozen Decisions</w:t>
      </w:r>
    </w:p>
    <w:p>
      <w:pPr>
        <w:pStyle w:val="Heading2"/>
        <w:pBdr>
          <w:bottom w:val="single" w:color="F59E0B" w:sz="4"/>
        </w:pBdr>
        <w:spacing w:after="120" w:before="360"/>
      </w:pPr>
      <w:r>
        <w:rPr>
          <w:rFonts w:ascii="Calibri" w:cs="Calibri" w:eastAsia="Calibri" w:hAnsi="Calibri"/>
          <w:b/>
          <w:bCs/>
          <w:color w:val="1A1A2E"/>
          <w:sz w:val="36"/>
          <w:szCs w:val="36"/>
        </w:rPr>
        <w:t xml:space="preserve">2.1 Backend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Layer</w:t>
            </w:r>
          </w:p>
        </w:tc>
        <w:tc>
          <w:tcPr>
            <w:tcW w:type="dxa" w:w="6500"/>
            <w:shd w:color="1A1A2E" w:val="solid"/>
            <w:vAlign w:val="center"/>
          </w:tcPr>
          <w:p>
            <w:r>
              <w:rPr>
                <w:rFonts w:ascii="Calibri" w:cs="Calibri" w:eastAsia="Calibri" w:hAnsi="Calibri"/>
                <w:b/>
                <w:bCs/>
                <w:color w:val="FFFFFF"/>
                <w:sz w:val="20"/>
                <w:szCs w:val="20"/>
              </w:rPr>
              <w:t xml:space="preserve">Technology &amp; Rationale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Language</w:t>
            </w:r>
          </w:p>
        </w:tc>
        <w:tc>
          <w:tcPr>
            <w:tcW w:type="dxa" w:w="6500"/>
            <w:vAlign w:val="center"/>
          </w:tcPr>
          <w:p>
            <w:r>
              <w:rPr>
                <w:rFonts w:ascii="Calibri" w:cs="Calibri" w:eastAsia="Calibri" w:hAnsi="Calibri"/>
                <w:b w:val="false"/>
                <w:bCs w:val="false"/>
                <w:color w:val="374151"/>
                <w:sz w:val="20"/>
                <w:szCs w:val="20"/>
              </w:rPr>
              <w:t xml:space="preserve">Go 1.22+ — compiles to single binary, goroutine concurrency, no GC pauses, sub-millisecond response times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Web framework</w:t>
            </w:r>
          </w:p>
        </w:tc>
        <w:tc>
          <w:tcPr>
            <w:tcW w:type="dxa" w:w="6500"/>
            <w:vAlign w:val="center"/>
          </w:tcPr>
          <w:p>
            <w:r>
              <w:rPr>
                <w:rFonts w:ascii="Calibri" w:cs="Calibri" w:eastAsia="Calibri" w:hAnsi="Calibri"/>
                <w:b w:val="false"/>
                <w:bCs w:val="false"/>
                <w:color w:val="374151"/>
                <w:sz w:val="20"/>
                <w:szCs w:val="20"/>
              </w:rPr>
              <w:t xml:space="preserve">Gin — minimal, fast, production-proven, zero magic</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Database queries</w:t>
            </w:r>
          </w:p>
        </w:tc>
        <w:tc>
          <w:tcPr>
            <w:tcW w:type="dxa" w:w="6500"/>
            <w:vAlign w:val="center"/>
          </w:tcPr>
          <w:p>
            <w:r>
              <w:rPr>
                <w:rFonts w:ascii="Calibri" w:cs="Calibri" w:eastAsia="Calibri" w:hAnsi="Calibri"/>
                <w:b w:val="false"/>
                <w:bCs w:val="false"/>
                <w:color w:val="374151"/>
                <w:sz w:val="20"/>
                <w:szCs w:val="20"/>
              </w:rPr>
              <w:t xml:space="preserve">sqlc — write SQL, generate type-safe Go. No ORM, no reflection, no N+1 surprises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Primary database</w:t>
            </w:r>
          </w:p>
        </w:tc>
        <w:tc>
          <w:tcPr>
            <w:tcW w:type="dxa" w:w="6500"/>
            <w:vAlign w:val="center"/>
          </w:tcPr>
          <w:p>
            <w:r>
              <w:rPr>
                <w:rFonts w:ascii="Calibri" w:cs="Calibri" w:eastAsia="Calibri" w:hAnsi="Calibri"/>
                <w:b w:val="false"/>
                <w:bCs w:val="false"/>
                <w:color w:val="374151"/>
                <w:sz w:val="20"/>
                <w:szCs w:val="20"/>
              </w:rPr>
              <w:t xml:space="preserve">PostgreSQL 16 — Row-Level Security (RLS) for multi-tenancy, JSONB, partitioning, logical replication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Cache / pub-sub</w:t>
            </w:r>
          </w:p>
        </w:tc>
        <w:tc>
          <w:tcPr>
            <w:tcW w:type="dxa" w:w="6500"/>
            <w:vAlign w:val="center"/>
          </w:tcPr>
          <w:p>
            <w:r>
              <w:rPr>
                <w:rFonts w:ascii="Calibri" w:cs="Calibri" w:eastAsia="Calibri" w:hAnsi="Calibri"/>
                <w:b w:val="false"/>
                <w:bCs w:val="false"/>
                <w:color w:val="374151"/>
                <w:sz w:val="20"/>
                <w:szCs w:val="20"/>
              </w:rPr>
              <w:t xml:space="preserve">Redis 7 — session storage, rate limiting, deduplication windows, pub/sub for WebSocket fan-out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Auth</w:t>
            </w:r>
          </w:p>
        </w:tc>
        <w:tc>
          <w:tcPr>
            <w:tcW w:type="dxa" w:w="6500"/>
            <w:vAlign w:val="center"/>
          </w:tcPr>
          <w:p>
            <w:r>
              <w:rPr>
                <w:rFonts w:ascii="Calibri" w:cs="Calibri" w:eastAsia="Calibri" w:hAnsi="Calibri"/>
                <w:b w:val="false"/>
                <w:bCs w:val="false"/>
                <w:color w:val="374151"/>
                <w:sz w:val="20"/>
                <w:szCs w:val="20"/>
              </w:rPr>
              <w:t xml:space="preserve">JWT RS256 — 15-minute access tokens, 7-day refresh in HTTP-only cookie, RBAC middleware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WebSocket</w:t>
            </w:r>
          </w:p>
        </w:tc>
        <w:tc>
          <w:tcPr>
            <w:tcW w:type="dxa" w:w="6500"/>
            <w:vAlign w:val="center"/>
          </w:tcPr>
          <w:p>
            <w:r>
              <w:rPr>
                <w:rFonts w:ascii="Calibri" w:cs="Calibri" w:eastAsia="Calibri" w:hAnsi="Calibri"/>
                <w:b w:val="false"/>
                <w:bCs w:val="false"/>
                <w:color w:val="374151"/>
                <w:sz w:val="20"/>
                <w:szCs w:val="20"/>
              </w:rPr>
              <w:t xml:space="preserve">gorilla/websocket — real-time agent event broadcast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Hot reload (dev)</w:t>
            </w:r>
          </w:p>
        </w:tc>
        <w:tc>
          <w:tcPr>
            <w:tcW w:type="dxa" w:w="6500"/>
            <w:vAlign w:val="center"/>
          </w:tcPr>
          <w:p>
            <w:r>
              <w:rPr>
                <w:rFonts w:ascii="Calibri" w:cs="Calibri" w:eastAsia="Calibri" w:hAnsi="Calibri"/>
                <w:b w:val="false"/>
                <w:bCs w:val="false"/>
                <w:color w:val="374151"/>
                <w:sz w:val="20"/>
                <w:szCs w:val="20"/>
              </w:rPr>
              <w:t xml:space="preserve">Air (cosmtrek/air) — rebuilds binary on file change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Logging</w:t>
            </w:r>
          </w:p>
        </w:tc>
        <w:tc>
          <w:tcPr>
            <w:tcW w:type="dxa" w:w="6500"/>
            <w:vAlign w:val="center"/>
          </w:tcPr>
          <w:p>
            <w:r>
              <w:rPr>
                <w:rFonts w:ascii="Calibri" w:cs="Calibri" w:eastAsia="Calibri" w:hAnsi="Calibri"/>
                <w:b w:val="false"/>
                <w:bCs w:val="false"/>
                <w:color w:val="374151"/>
                <w:sz w:val="20"/>
                <w:szCs w:val="20"/>
              </w:rPr>
              <w:t xml:space="preserve">log/slog (stdlib) — structured JSON logs, zero dependency</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2.2 Frontend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Layer</w:t>
            </w:r>
          </w:p>
        </w:tc>
        <w:tc>
          <w:tcPr>
            <w:tcW w:type="dxa" w:w="6500"/>
            <w:shd w:color="1A1A2E" w:val="solid"/>
            <w:vAlign w:val="center"/>
          </w:tcPr>
          <w:p>
            <w:r>
              <w:rPr>
                <w:rFonts w:ascii="Calibri" w:cs="Calibri" w:eastAsia="Calibri" w:hAnsi="Calibri"/>
                <w:b/>
                <w:bCs/>
                <w:color w:val="FFFFFF"/>
                <w:sz w:val="20"/>
                <w:szCs w:val="20"/>
              </w:rPr>
              <w:t xml:space="preserve">Technology &amp; Rationale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Framework</w:t>
            </w:r>
          </w:p>
        </w:tc>
        <w:tc>
          <w:tcPr>
            <w:tcW w:type="dxa" w:w="6500"/>
            <w:vAlign w:val="center"/>
          </w:tcPr>
          <w:p>
            <w:r>
              <w:rPr>
                <w:rFonts w:ascii="Calibri" w:cs="Calibri" w:eastAsia="Calibri" w:hAnsi="Calibri"/>
                <w:b w:val="false"/>
                <w:bCs w:val="false"/>
                <w:color w:val="374151"/>
                <w:sz w:val="20"/>
                <w:szCs w:val="20"/>
              </w:rPr>
              <w:t xml:space="preserve">React 19 + TypeScript (strict mode) — industry standard, long support horizon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Bundler</w:t>
            </w:r>
          </w:p>
        </w:tc>
        <w:tc>
          <w:tcPr>
            <w:tcW w:type="dxa" w:w="6500"/>
            <w:vAlign w:val="center"/>
          </w:tcPr>
          <w:p>
            <w:r>
              <w:rPr>
                <w:rFonts w:ascii="Calibri" w:cs="Calibri" w:eastAsia="Calibri" w:hAnsi="Calibri"/>
                <w:b w:val="false"/>
                <w:bCs w:val="false"/>
                <w:color w:val="374151"/>
                <w:sz w:val="20"/>
                <w:szCs w:val="20"/>
              </w:rPr>
              <w:t xml:space="preserve">Vite 5 — fast HMR, ESM-native, Module Federation ready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State: server</w:t>
            </w:r>
          </w:p>
        </w:tc>
        <w:tc>
          <w:tcPr>
            <w:tcW w:type="dxa" w:w="6500"/>
            <w:vAlign w:val="center"/>
          </w:tcPr>
          <w:p>
            <w:r>
              <w:rPr>
                <w:rFonts w:ascii="Calibri" w:cs="Calibri" w:eastAsia="Calibri" w:hAnsi="Calibri"/>
                <w:b w:val="false"/>
                <w:bCs w:val="false"/>
                <w:color w:val="374151"/>
                <w:sz w:val="20"/>
                <w:szCs w:val="20"/>
              </w:rPr>
              <w:t xml:space="preserve">TanStack Query v5 — fetch, cache, background refetch, optimistic updates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State: client</w:t>
            </w:r>
          </w:p>
        </w:tc>
        <w:tc>
          <w:tcPr>
            <w:tcW w:type="dxa" w:w="6500"/>
            <w:vAlign w:val="center"/>
          </w:tcPr>
          <w:p>
            <w:r>
              <w:rPr>
                <w:rFonts w:ascii="Calibri" w:cs="Calibri" w:eastAsia="Calibri" w:hAnsi="Calibri"/>
                <w:b w:val="false"/>
                <w:bCs w:val="false"/>
                <w:color w:val="374151"/>
                <w:sz w:val="20"/>
                <w:szCs w:val="20"/>
              </w:rPr>
              <w:t xml:space="preserve">Zustand — minimal, no boilerplate, no Redux complexity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Styling</w:t>
            </w:r>
          </w:p>
        </w:tc>
        <w:tc>
          <w:tcPr>
            <w:tcW w:type="dxa" w:w="6500"/>
            <w:vAlign w:val="center"/>
          </w:tcPr>
          <w:p>
            <w:r>
              <w:rPr>
                <w:rFonts w:ascii="Calibri" w:cs="Calibri" w:eastAsia="Calibri" w:hAnsi="Calibri"/>
                <w:b w:val="false"/>
                <w:bCs w:val="false"/>
                <w:color w:val="374151"/>
                <w:sz w:val="20"/>
                <w:szCs w:val="20"/>
              </w:rPr>
              <w:t xml:space="preserve">Tailwind CSS 3 + CSS custom properties — design tokens via CSS variables, theme propagation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Components</w:t>
            </w:r>
          </w:p>
        </w:tc>
        <w:tc>
          <w:tcPr>
            <w:tcW w:type="dxa" w:w="6500"/>
            <w:vAlign w:val="center"/>
          </w:tcPr>
          <w:p>
            <w:r>
              <w:rPr>
                <w:rFonts w:ascii="Calibri" w:cs="Calibri" w:eastAsia="Calibri" w:hAnsi="Calibri"/>
                <w:b w:val="false"/>
                <w:bCs w:val="false"/>
                <w:color w:val="374151"/>
                <w:sz w:val="20"/>
                <w:szCs w:val="20"/>
              </w:rPr>
              <w:t xml:space="preserve">Hand-written + Radix UI primitives — accessible, unstyled, owned by us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Font</w:t>
            </w:r>
          </w:p>
        </w:tc>
        <w:tc>
          <w:tcPr>
            <w:tcW w:type="dxa" w:w="6500"/>
            <w:vAlign w:val="center"/>
          </w:tcPr>
          <w:p>
            <w:r>
              <w:rPr>
                <w:rFonts w:ascii="Calibri" w:cs="Calibri" w:eastAsia="Calibri" w:hAnsi="Calibri"/>
                <w:b w:val="false"/>
                <w:bCs w:val="false"/>
                <w:color w:val="374151"/>
                <w:sz w:val="20"/>
                <w:szCs w:val="20"/>
              </w:rPr>
              <w:t xml:space="preserve">Inter (UI) + JetBrains Mono (codes/IDs) — excellent zero/O distinction, professional</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Design system</w:t>
            </w:r>
          </w:p>
        </w:tc>
        <w:tc>
          <w:tcPr>
            <w:tcW w:type="dxa" w:w="6500"/>
            <w:vAlign w:val="center"/>
          </w:tcPr>
          <w:p>
            <w:r>
              <w:rPr>
                <w:rFonts w:ascii="Calibri" w:cs="Calibri" w:eastAsia="Calibri" w:hAnsi="Calibri"/>
                <w:b w:val="false"/>
                <w:bCs w:val="false"/>
                <w:color w:val="374151"/>
                <w:sz w:val="20"/>
                <w:szCs w:val="20"/>
              </w:rPr>
              <w:t xml:space="preserve">Storybook — component library documentation, visual regression testing</w:t>
            </w:r>
          </w:p>
        </w:tc>
      </w:tr>
      <w:tr>
        <w:trPr>
          <w:tblHeader w:val="false"/>
        </w:trPr>
        <w:tc>
          <w:tcPr>
            <w:tcW w:type="dxa" w:w="3000"/>
            <w:vAlign w:val="center"/>
          </w:tcPr>
          <w:p>
            <w:r>
              <w:rPr>
                <w:rFonts w:ascii="Calibri" w:cs="Calibri" w:eastAsia="Calibri" w:hAnsi="Calibri"/>
                <w:b w:val="false"/>
                <w:bCs w:val="false"/>
                <w:color w:val="111111"/>
                <w:sz w:val="20"/>
                <w:szCs w:val="20"/>
              </w:rPr>
              <w:t xml:space="preserve">Module Federation</w:t>
            </w:r>
          </w:p>
        </w:tc>
        <w:tc>
          <w:tcPr>
            <w:tcW w:type="dxa" w:w="6500"/>
            <w:vAlign w:val="center"/>
          </w:tcPr>
          <w:p>
            <w:r>
              <w:rPr>
                <w:rFonts w:ascii="Calibri" w:cs="Calibri" w:eastAsia="Calibri" w:hAnsi="Calibri"/>
                <w:b w:val="false"/>
                <w:bCs w:val="false"/>
                <w:color w:val="374151"/>
                <w:sz w:val="20"/>
                <w:szCs w:val="20"/>
              </w:rPr>
              <w:t xml:space="preserve">Phase 3 — frontend chunks split per module for independent deployment</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2.3 Infrastructure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Layer</w:t>
            </w:r>
          </w:p>
        </w:tc>
        <w:tc>
          <w:tcPr>
            <w:tcW w:type="dxa" w:w="6500"/>
            <w:shd w:color="1A1A2E" w:val="solid"/>
            <w:vAlign w:val="center"/>
          </w:tcPr>
          <w:p>
            <w:r>
              <w:rPr>
                <w:rFonts w:ascii="Calibri" w:cs="Calibri" w:eastAsia="Calibri" w:hAnsi="Calibri"/>
                <w:b/>
                <w:bCs/>
                <w:color w:val="FFFFFF"/>
                <w:sz w:val="20"/>
                <w:szCs w:val="20"/>
              </w:rPr>
              <w:t xml:space="preserve">Technology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Development</w:t>
            </w:r>
          </w:p>
        </w:tc>
        <w:tc>
          <w:tcPr>
            <w:tcW w:type="dxa" w:w="6500"/>
            <w:vAlign w:val="center"/>
          </w:tcPr>
          <w:p>
            <w:r>
              <w:rPr>
                <w:rFonts w:ascii="Calibri" w:cs="Calibri" w:eastAsia="Calibri" w:hAnsi="Calibri"/>
                <w:b w:val="false"/>
                <w:bCs w:val="false"/>
                <w:color w:val="374151"/>
                <w:sz w:val="20"/>
                <w:szCs w:val="20"/>
              </w:rPr>
              <w:t xml:space="preserve">Docker Compose — all services in one compose file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Production orchestration</w:t>
            </w:r>
          </w:p>
        </w:tc>
        <w:tc>
          <w:tcPr>
            <w:tcW w:type="dxa" w:w="6500"/>
            <w:vAlign w:val="center"/>
          </w:tcPr>
          <w:p>
            <w:r>
              <w:rPr>
                <w:rFonts w:ascii="Calibri" w:cs="Calibri" w:eastAsia="Calibri" w:hAnsi="Calibri"/>
                <w:b w:val="false"/>
                <w:bCs w:val="false"/>
                <w:color w:val="374151"/>
                <w:sz w:val="20"/>
                <w:szCs w:val="20"/>
              </w:rPr>
              <w:t xml:space="preserve">Kubernetes + Helm charts (Phase 3)</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CI/CD</w:t>
            </w:r>
          </w:p>
        </w:tc>
        <w:tc>
          <w:tcPr>
            <w:tcW w:type="dxa" w:w="6500"/>
            <w:vAlign w:val="center"/>
          </w:tcPr>
          <w:p>
            <w:r>
              <w:rPr>
                <w:rFonts w:ascii="Calibri" w:cs="Calibri" w:eastAsia="Calibri" w:hAnsi="Calibri"/>
                <w:b w:val="false"/>
                <w:bCs w:val="false"/>
                <w:color w:val="374151"/>
                <w:sz w:val="20"/>
                <w:szCs w:val="20"/>
              </w:rPr>
              <w:t xml:space="preserve">GitHub Actions — build, test, migrate, deploy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Observability</w:t>
            </w:r>
          </w:p>
        </w:tc>
        <w:tc>
          <w:tcPr>
            <w:tcW w:type="dxa" w:w="6500"/>
            <w:vAlign w:val="center"/>
          </w:tcPr>
          <w:p>
            <w:r>
              <w:rPr>
                <w:rFonts w:ascii="Calibri" w:cs="Calibri" w:eastAsia="Calibri" w:hAnsi="Calibri"/>
                <w:b w:val="false"/>
                <w:bCs w:val="false"/>
                <w:color w:val="374151"/>
                <w:sz w:val="20"/>
                <w:szCs w:val="20"/>
              </w:rPr>
              <w:t xml:space="preserve">OpenTelemetry + Grafana stack (Phase 3)</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Secrets</w:t>
            </w:r>
          </w:p>
        </w:tc>
        <w:tc>
          <w:tcPr>
            <w:tcW w:type="dxa" w:w="6500"/>
            <w:vAlign w:val="center"/>
          </w:tcPr>
          <w:p>
            <w:r>
              <w:rPr>
                <w:rFonts w:ascii="Calibri" w:cs="Calibri" w:eastAsia="Calibri" w:hAnsi="Calibri"/>
                <w:b w:val="false"/>
                <w:bCs w:val="false"/>
                <w:color w:val="374151"/>
                <w:sz w:val="20"/>
                <w:szCs w:val="20"/>
              </w:rPr>
              <w:t xml:space="preserve">HashiCorp Vault (Phase 3)</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Analytics</w:t>
            </w:r>
          </w:p>
        </w:tc>
        <w:tc>
          <w:tcPr>
            <w:tcW w:type="dxa" w:w="6500"/>
            <w:vAlign w:val="center"/>
          </w:tcPr>
          <w:p>
            <w:r>
              <w:rPr>
                <w:rFonts w:ascii="Calibri" w:cs="Calibri" w:eastAsia="Calibri" w:hAnsi="Calibri"/>
                <w:b w:val="false"/>
                <w:bCs w:val="false"/>
                <w:color w:val="374151"/>
                <w:sz w:val="20"/>
                <w:szCs w:val="20"/>
              </w:rPr>
              <w:t xml:space="preserve">ClickHouse — columnar OLAP for reports (Phase 2)</w:t>
            </w:r>
          </w:p>
        </w:tc>
      </w:tr>
      <w:tr>
        <w:trPr>
          <w:tblHeader w:val="false"/>
        </w:trPr>
        <w:tc>
          <w:tcPr>
            <w:tcW w:type="dxa" w:w="3000"/>
            <w:vAlign w:val="center"/>
          </w:tcPr>
          <w:p>
            <w:r>
              <w:rPr>
                <w:rFonts w:ascii="Calibri" w:cs="Calibri" w:eastAsia="Calibri" w:hAnsi="Calibri"/>
                <w:b w:val="false"/>
                <w:bCs w:val="false"/>
                <w:color w:val="111111"/>
                <w:sz w:val="20"/>
                <w:szCs w:val="20"/>
              </w:rPr>
              <w:t xml:space="preserve">Event bus</w:t>
            </w:r>
          </w:p>
        </w:tc>
        <w:tc>
          <w:tcPr>
            <w:tcW w:type="dxa" w:w="6500"/>
            <w:vAlign w:val="center"/>
          </w:tcPr>
          <w:p>
            <w:r>
              <w:rPr>
                <w:rFonts w:ascii="Calibri" w:cs="Calibri" w:eastAsia="Calibri" w:hAnsi="Calibri"/>
                <w:b w:val="false"/>
                <w:bCs w:val="false"/>
                <w:color w:val="374151"/>
                <w:sz w:val="20"/>
                <w:szCs w:val="20"/>
              </w:rPr>
              <w:t xml:space="preserve">NATS JetStream — at-least-once delivery, stream replay (Phase 3)</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Blob storage</w:t>
            </w:r>
          </w:p>
        </w:tc>
        <w:tc>
          <w:tcPr>
            <w:tcW w:type="dxa" w:w="6500"/>
            <w:vAlign w:val="center"/>
          </w:tcPr>
          <w:p>
            <w:r>
              <w:rPr>
                <w:rFonts w:ascii="Calibri" w:cs="Calibri" w:eastAsia="Calibri" w:hAnsi="Calibri"/>
                <w:b w:val="false"/>
                <w:bCs w:val="false"/>
                <w:color w:val="374151"/>
                <w:sz w:val="20"/>
                <w:szCs w:val="20"/>
              </w:rPr>
              <w:t xml:space="preserve">MinIO / S3 — documents, labels, exports</w:t>
            </w:r>
          </w:p>
        </w:tc>
      </w:tr>
    </w:tbl>
    <w:p>
      <w:r>
        <w:br w:type="page"/>
      </w:r>
    </w:p>
    <w:p>
      <w:pPr>
        <w:pStyle w:val="Heading2"/>
        <w:pBdr>
          <w:bottom w:val="single" w:color="F59E0B" w:sz="4"/>
        </w:pBdr>
        <w:spacing w:after="120" w:before="360"/>
      </w:pPr>
      <w:r>
        <w:rPr>
          <w:rFonts w:ascii="Calibri" w:cs="Calibri" w:eastAsia="Calibri" w:hAnsi="Calibri"/>
          <w:b/>
          <w:bCs/>
          <w:color w:val="1A1A2E"/>
          <w:sz w:val="36"/>
          <w:szCs w:val="36"/>
        </w:rPr>
        <w:t xml:space="preserve">2.4 Go Version Compatibility Strategy</w:t>
      </w:r>
    </w:p>
    <w:p>
      <w:pPr>
        <w:spacing w:after="80" w:before="80"/>
      </w:pPr>
      <w:r>
        <w:rPr>
          <w:rFonts w:ascii="Calibri" w:cs="Calibri" w:eastAsia="Calibri" w:hAnsi="Calibri"/>
          <w:b w:val="false"/>
          <w:bCs w:val="false"/>
          <w:i w:val="false"/>
          <w:iCs w:val="false"/>
          <w:color w:val="374151"/>
          <w:sz w:val="22"/>
          <w:szCs w:val="22"/>
        </w:rPr>
        <w:t xml:space="preserve">Go uses a strict compatibility guarantee: any code written for Go 1.x will compile and run correctly on all future Go 1.y versions where y &gt; x. This is Go's official promise, written into the language specification.</w:t>
      </w:r>
    </w:p>
    <w:p>
      <w:pPr>
        <w:pStyle w:val="Heading3"/>
        <w:spacing w:after="80" w:before="240"/>
      </w:pPr>
      <w:r>
        <w:rPr>
          <w:rFonts w:ascii="Calibri" w:cs="Calibri" w:eastAsia="Calibri" w:hAnsi="Calibri"/>
          <w:b/>
          <w:bCs/>
          <w:color w:val="374151"/>
          <w:sz w:val="28"/>
          <w:szCs w:val="28"/>
        </w:rPr>
        <w:t xml:space="preserve">Current: Go 1.22</w:t>
      </w:r>
    </w:p>
    <w:p>
      <w:pPr>
        <w:pStyle w:val="ListParagraph"/>
        <w:numPr>
          <w:ilvl w:val="0"/>
          <w:numId w:val="1"/>
        </w:numPr>
        <w:spacing w:after="60" w:before="60"/>
      </w:pPr>
      <w:r>
        <w:rPr>
          <w:rFonts w:ascii="Calibri" w:cs="Calibri" w:eastAsia="Calibri" w:hAnsi="Calibri"/>
          <w:color w:val="374151"/>
          <w:sz w:val="21"/>
          <w:szCs w:val="21"/>
        </w:rPr>
        <w:t xml:space="preserve">All dependencies in go.mod are pinned to specific versions</w:t>
      </w:r>
    </w:p>
    <w:p>
      <w:pPr>
        <w:pStyle w:val="ListParagraph"/>
        <w:numPr>
          <w:ilvl w:val="0"/>
          <w:numId w:val="1"/>
        </w:numPr>
        <w:spacing w:after="60" w:before="60"/>
      </w:pPr>
      <w:r>
        <w:rPr>
          <w:rFonts w:ascii="Calibri" w:cs="Calibri" w:eastAsia="Calibri" w:hAnsi="Calibri"/>
          <w:color w:val="374151"/>
          <w:sz w:val="21"/>
          <w:szCs w:val="21"/>
        </w:rPr>
        <w:t xml:space="preserve">sqlc generates code compatible with Go 1.22+</w:t>
      </w:r>
    </w:p>
    <w:p>
      <w:pPr>
        <w:pStyle w:val="ListParagraph"/>
        <w:numPr>
          <w:ilvl w:val="0"/>
          <w:numId w:val="1"/>
        </w:numPr>
        <w:spacing w:after="60" w:before="60"/>
      </w:pPr>
      <w:r>
        <w:rPr>
          <w:rFonts w:ascii="Calibri" w:cs="Calibri" w:eastAsia="Calibri" w:hAnsi="Calibri"/>
          <w:color w:val="374151"/>
          <w:sz w:val="21"/>
          <w:szCs w:val="21"/>
        </w:rPr>
        <w:t xml:space="preserve">Gin, gorilla/websocket, and all libraries follow semantic versioning</w:t>
      </w:r>
    </w:p>
    <w:p>
      <w:pPr>
        <w:pStyle w:val="Heading3"/>
        <w:spacing w:after="80" w:before="240"/>
      </w:pPr>
      <w:r>
        <w:rPr>
          <w:rFonts w:ascii="Calibri" w:cs="Calibri" w:eastAsia="Calibri" w:hAnsi="Calibri"/>
          <w:b/>
          <w:bCs/>
          <w:color w:val="374151"/>
          <w:sz w:val="28"/>
          <w:szCs w:val="28"/>
        </w:rPr>
        <w:t xml:space="preserve">When Go 2.x arrives</w:t>
      </w:r>
    </w:p>
    <w:p>
      <w:pPr>
        <w:pStyle w:val="ListParagraph"/>
        <w:numPr>
          <w:ilvl w:val="0"/>
          <w:numId w:val="1"/>
        </w:numPr>
        <w:spacing w:after="60" w:before="60"/>
      </w:pPr>
      <w:r>
        <w:rPr>
          <w:rFonts w:ascii="Calibri" w:cs="Calibri" w:eastAsia="Calibri" w:hAnsi="Calibri"/>
          <w:color w:val="374151"/>
          <w:sz w:val="21"/>
          <w:szCs w:val="21"/>
        </w:rPr>
        <w:t xml:space="preserve">Go 2 has not been announced and is not imminent — Go team explicitly maintains 1.x indefinitely</w:t>
      </w:r>
    </w:p>
    <w:p>
      <w:pPr>
        <w:pStyle w:val="ListParagraph"/>
        <w:numPr>
          <w:ilvl w:val="0"/>
          <w:numId w:val="1"/>
        </w:numPr>
        <w:spacing w:after="60" w:before="60"/>
      </w:pPr>
      <w:r>
        <w:rPr>
          <w:rFonts w:ascii="Calibri" w:cs="Calibri" w:eastAsia="Calibri" w:hAnsi="Calibri"/>
          <w:color w:val="374151"/>
          <w:sz w:val="21"/>
          <w:szCs w:val="21"/>
        </w:rPr>
        <w:t xml:space="preserve">If Go 2 ever ships, it will include a compatibility layer (go fix toolchain) to auto-migrate 1.x code</w:t>
      </w:r>
    </w:p>
    <w:p>
      <w:pPr>
        <w:pStyle w:val="ListParagraph"/>
        <w:numPr>
          <w:ilvl w:val="0"/>
          <w:numId w:val="1"/>
        </w:numPr>
        <w:spacing w:after="60" w:before="60"/>
      </w:pPr>
      <w:r>
        <w:rPr>
          <w:rFonts w:ascii="Calibri" w:cs="Calibri" w:eastAsia="Calibri" w:hAnsi="Calibri"/>
          <w:color w:val="374151"/>
          <w:sz w:val="21"/>
          <w:szCs w:val="21"/>
        </w:rPr>
        <w:t xml:space="preserve">Action required: run `go fix ./...` then recompile — estimated 1 day of work</w:t>
      </w:r>
    </w:p>
    <w:p>
      <w:pPr>
        <w:pStyle w:val="ListParagraph"/>
        <w:numPr>
          <w:ilvl w:val="0"/>
          <w:numId w:val="1"/>
        </w:numPr>
        <w:spacing w:after="60" w:before="60"/>
      </w:pPr>
      <w:r>
        <w:rPr>
          <w:rFonts w:ascii="Calibri" w:cs="Calibri" w:eastAsia="Calibri" w:hAnsi="Calibri"/>
          <w:color w:val="374151"/>
          <w:sz w:val="21"/>
          <w:szCs w:val="21"/>
        </w:rPr>
        <w:t xml:space="preserve">Zero application logic changes expected — only syntax modernisation</w:t>
      </w:r>
    </w:p>
    <w:p>
      <w:pPr>
        <w:pStyle w:val="Heading3"/>
        <w:spacing w:after="80" w:before="240"/>
      </w:pPr>
      <w:r>
        <w:rPr>
          <w:rFonts w:ascii="Calibri" w:cs="Calibri" w:eastAsia="Calibri" w:hAnsi="Calibri"/>
          <w:b/>
          <w:bCs/>
          <w:color w:val="374151"/>
          <w:sz w:val="28"/>
          <w:szCs w:val="28"/>
        </w:rPr>
        <w:t xml:space="preserve">Dependency update process</w:t>
      </w:r>
    </w:p>
    <w:p>
      <w:pPr>
        <w:shd w:color="1E293B" w:val="solid"/>
        <w:spacing w:after="80" w:before="80"/>
      </w:pPr>
      <w:r>
        <w:rPr>
          <w:rFonts w:ascii="Courier New" w:cs="Courier New" w:eastAsia="Courier New" w:hAnsi="Courier New"/>
          <w:color w:val="E2E8F0"/>
          <w:sz w:val="19"/>
          <w:szCs w:val="19"/>
        </w:rPr>
        <w:t xml:space="preserve"># Check for available updates</w:t>
      </w:r>
    </w:p>
    <w:p>
      <w:pPr>
        <w:shd w:color="1E293B" w:val="solid"/>
        <w:spacing w:after="80" w:before="80"/>
      </w:pPr>
      <w:r>
        <w:rPr>
          <w:rFonts w:ascii="Courier New" w:cs="Courier New" w:eastAsia="Courier New" w:hAnsi="Courier New"/>
          <w:color w:val="E2E8F0"/>
          <w:sz w:val="19"/>
          <w:szCs w:val="19"/>
        </w:rPr>
        <w:t xml:space="preserve">go list -m -u all</w:t>
      </w:r>
    </w:p>
    <w:p>
      <w:pPr>
        <w:shd w:color="1E293B" w:val="solid"/>
        <w:spacing w:after="80" w:before="80"/>
      </w:pPr>
      <w:r>
        <w:rPr>
          <w:rFonts w:ascii="Courier New" w:cs="Courier New" w:eastAsia="Courier New" w:hAnsi="Courier New"/>
          <w:color w:val="E2E8F0"/>
          <w:sz w:val="19"/>
          <w:szCs w:val="19"/>
        </w:rPr>
        <w:t xml:space="preserve"># Update a specific dependency safely</w:t>
      </w:r>
    </w:p>
    <w:p>
      <w:pPr>
        <w:shd w:color="1E293B" w:val="solid"/>
        <w:spacing w:after="80" w:before="80"/>
      </w:pPr>
      <w:r>
        <w:rPr>
          <w:rFonts w:ascii="Courier New" w:cs="Courier New" w:eastAsia="Courier New" w:hAnsi="Courier New"/>
          <w:color w:val="E2E8F0"/>
          <w:sz w:val="19"/>
          <w:szCs w:val="19"/>
        </w:rPr>
        <w:t xml:space="preserve">go get github.com/gin-gonic/gin@latest</w:t>
      </w:r>
    </w:p>
    <w:p>
      <w:pPr>
        <w:shd w:color="1E293B" w:val="solid"/>
        <w:spacing w:after="80" w:before="80"/>
      </w:pPr>
      <w:r>
        <w:rPr>
          <w:rFonts w:ascii="Courier New" w:cs="Courier New" w:eastAsia="Courier New" w:hAnsi="Courier New"/>
          <w:color w:val="E2E8F0"/>
          <w:sz w:val="19"/>
          <w:szCs w:val="19"/>
        </w:rPr>
        <w:t xml:space="preserve"># Run all tests after any update</w:t>
      </w:r>
    </w:p>
    <w:p>
      <w:pPr>
        <w:shd w:color="1E293B" w:val="solid"/>
        <w:spacing w:after="80" w:before="80"/>
      </w:pPr>
      <w:r>
        <w:rPr>
          <w:rFonts w:ascii="Courier New" w:cs="Courier New" w:eastAsia="Courier New" w:hAnsi="Courier New"/>
          <w:color w:val="E2E8F0"/>
          <w:sz w:val="19"/>
          <w:szCs w:val="19"/>
        </w:rPr>
        <w:t xml:space="preserve">go test ./...</w:t>
      </w:r>
    </w:p>
    <w:p>
      <w:pPr>
        <w:spacing w:after="80" w:before="80"/>
      </w:pPr>
      <w:r>
        <w:rPr>
          <w:rFonts w:ascii="Calibri" w:cs="Calibri" w:eastAsia="Calibri" w:hAnsi="Calibri"/>
          <w:b w:val="false"/>
          <w:bCs w:val="false"/>
          <w:i w:val="false"/>
          <w:iCs w:val="false"/>
          <w:color w:val="374151"/>
          <w:sz w:val="22"/>
          <w:szCs w:val="22"/>
        </w:rPr>
        <w:t xml:space="preserve">Rule: update dependencies quarterly, one at a time. Never update multiple dependencies in the same commit.</w:t>
      </w:r>
    </w:p>
    <w:p>
      <w:r>
        <w:br w:type="page"/>
      </w:r>
    </w:p>
    <w:p>
      <w:pPr>
        <w:pStyle w:val="Heading1"/>
        <w:spacing w:after="160" w:before="480"/>
      </w:pPr>
      <w:r>
        <w:rPr>
          <w:rFonts w:ascii="Calibri" w:cs="Calibri" w:eastAsia="Calibri" w:hAnsi="Calibri"/>
          <w:b/>
          <w:bCs/>
          <w:color w:val="1A1A2E"/>
          <w:sz w:val="52"/>
          <w:szCs w:val="52"/>
        </w:rPr>
        <w:t xml:space="preserve">3. Security Architecture</w:t>
      </w:r>
    </w:p>
    <w:p>
      <w:pPr>
        <w:pStyle w:val="Heading2"/>
        <w:pBdr>
          <w:bottom w:val="single" w:color="F59E0B" w:sz="4"/>
        </w:pBdr>
        <w:spacing w:after="120" w:before="360"/>
      </w:pPr>
      <w:r>
        <w:rPr>
          <w:rFonts w:ascii="Calibri" w:cs="Calibri" w:eastAsia="Calibri" w:hAnsi="Calibri"/>
          <w:b/>
          <w:bCs/>
          <w:color w:val="1A1A2E"/>
          <w:sz w:val="36"/>
          <w:szCs w:val="36"/>
        </w:rPr>
        <w:t xml:space="preserve">3.1 Defence-in-Depth Model</w:t>
      </w:r>
    </w:p>
    <w:p>
      <w:pPr>
        <w:spacing w:after="80" w:before="80"/>
      </w:pPr>
      <w:r>
        <w:rPr>
          <w:rFonts w:ascii="Calibri" w:cs="Calibri" w:eastAsia="Calibri" w:hAnsi="Calibri"/>
          <w:b w:val="false"/>
          <w:bCs w:val="false"/>
          <w:i w:val="false"/>
          <w:iCs w:val="false"/>
          <w:color w:val="374151"/>
          <w:sz w:val="22"/>
          <w:szCs w:val="22"/>
        </w:rPr>
        <w:t xml:space="preserve">SupplyXERP implements security at five independent layers. An attacker who defeats one layer still faces four more. This is the same model used by Stripe, Cloudflare, and AWS.</w:t>
      </w:r>
    </w:p>
    <w:p>
      <w:pPr>
        <w:pStyle w:val="Heading3"/>
        <w:spacing w:after="80" w:before="240"/>
      </w:pPr>
      <w:r>
        <w:rPr>
          <w:rFonts w:ascii="Calibri" w:cs="Calibri" w:eastAsia="Calibri" w:hAnsi="Calibri"/>
          <w:b/>
          <w:bCs/>
          <w:color w:val="374151"/>
          <w:sz w:val="28"/>
          <w:szCs w:val="28"/>
        </w:rPr>
        <w:t xml:space="preserve">Layer 1 — Network</w:t>
      </w:r>
    </w:p>
    <w:p>
      <w:pPr>
        <w:pStyle w:val="ListParagraph"/>
        <w:numPr>
          <w:ilvl w:val="0"/>
          <w:numId w:val="1"/>
        </w:numPr>
        <w:spacing w:after="60" w:before="60"/>
      </w:pPr>
      <w:r>
        <w:rPr>
          <w:rFonts w:ascii="Calibri" w:cs="Calibri" w:eastAsia="Calibri" w:hAnsi="Calibri"/>
          <w:color w:val="374151"/>
          <w:sz w:val="21"/>
          <w:szCs w:val="21"/>
        </w:rPr>
        <w:t xml:space="preserve">TLS 1.3 mandatory in production — no HTTP, no TLS 1.0/1.1/1.2</w:t>
      </w:r>
    </w:p>
    <w:p>
      <w:pPr>
        <w:pStyle w:val="ListParagraph"/>
        <w:numPr>
          <w:ilvl w:val="0"/>
          <w:numId w:val="1"/>
        </w:numPr>
        <w:spacing w:after="60" w:before="60"/>
      </w:pPr>
      <w:r>
        <w:rPr>
          <w:rFonts w:ascii="Calibri" w:cs="Calibri" w:eastAsia="Calibri" w:hAnsi="Calibri"/>
          <w:color w:val="374151"/>
          <w:sz w:val="21"/>
          <w:szCs w:val="21"/>
        </w:rPr>
        <w:t xml:space="preserve">CORS: explicit allowlist — no wildcard origins</w:t>
      </w:r>
    </w:p>
    <w:p>
      <w:pPr>
        <w:pStyle w:val="ListParagraph"/>
        <w:numPr>
          <w:ilvl w:val="0"/>
          <w:numId w:val="1"/>
        </w:numPr>
        <w:spacing w:after="60" w:before="60"/>
      </w:pPr>
      <w:r>
        <w:rPr>
          <w:rFonts w:ascii="Calibri" w:cs="Calibri" w:eastAsia="Calibri" w:hAnsi="Calibri"/>
          <w:color w:val="374151"/>
          <w:sz w:val="21"/>
          <w:szCs w:val="21"/>
        </w:rPr>
        <w:t xml:space="preserve">Rate limiting: 100 requests/minute per IP on auth endpoints, 1000/minute on API</w:t>
      </w:r>
    </w:p>
    <w:p>
      <w:pPr>
        <w:pStyle w:val="ListParagraph"/>
        <w:numPr>
          <w:ilvl w:val="0"/>
          <w:numId w:val="1"/>
        </w:numPr>
        <w:spacing w:after="60" w:before="60"/>
      </w:pPr>
      <w:r>
        <w:rPr>
          <w:rFonts w:ascii="Calibri" w:cs="Calibri" w:eastAsia="Calibri" w:hAnsi="Calibri"/>
          <w:color w:val="374151"/>
          <w:sz w:val="21"/>
          <w:szCs w:val="21"/>
        </w:rPr>
        <w:t xml:space="preserve">Request size limit: 10MB maximum body</w:t>
      </w:r>
    </w:p>
    <w:p>
      <w:pPr>
        <w:pStyle w:val="Heading3"/>
        <w:spacing w:after="80" w:before="240"/>
      </w:pPr>
      <w:r>
        <w:rPr>
          <w:rFonts w:ascii="Calibri" w:cs="Calibri" w:eastAsia="Calibri" w:hAnsi="Calibri"/>
          <w:b/>
          <w:bCs/>
          <w:color w:val="374151"/>
          <w:sz w:val="28"/>
          <w:szCs w:val="28"/>
        </w:rPr>
        <w:t xml:space="preserve">Layer 2 — Authentication</w:t>
      </w:r>
    </w:p>
    <w:p>
      <w:pPr>
        <w:pStyle w:val="ListParagraph"/>
        <w:numPr>
          <w:ilvl w:val="0"/>
          <w:numId w:val="1"/>
        </w:numPr>
        <w:spacing w:after="60" w:before="60"/>
      </w:pPr>
      <w:r>
        <w:rPr>
          <w:rFonts w:ascii="Calibri" w:cs="Calibri" w:eastAsia="Calibri" w:hAnsi="Calibri"/>
          <w:color w:val="374151"/>
          <w:sz w:val="21"/>
          <w:szCs w:val="21"/>
        </w:rPr>
        <w:t xml:space="preserve">JWT RS256 — asymmetric signing, private key never leaves the server</w:t>
      </w:r>
    </w:p>
    <w:p>
      <w:pPr>
        <w:pStyle w:val="ListParagraph"/>
        <w:numPr>
          <w:ilvl w:val="0"/>
          <w:numId w:val="1"/>
        </w:numPr>
        <w:spacing w:after="60" w:before="60"/>
      </w:pPr>
      <w:r>
        <w:rPr>
          <w:rFonts w:ascii="Calibri" w:cs="Calibri" w:eastAsia="Calibri" w:hAnsi="Calibri"/>
          <w:color w:val="374151"/>
          <w:sz w:val="21"/>
          <w:szCs w:val="21"/>
        </w:rPr>
        <w:t xml:space="preserve">Access token TTL: 15 minutes — short window limits exposure if stolen</w:t>
      </w:r>
    </w:p>
    <w:p>
      <w:pPr>
        <w:pStyle w:val="ListParagraph"/>
        <w:numPr>
          <w:ilvl w:val="0"/>
          <w:numId w:val="1"/>
        </w:numPr>
        <w:spacing w:after="60" w:before="60"/>
      </w:pPr>
      <w:r>
        <w:rPr>
          <w:rFonts w:ascii="Calibri" w:cs="Calibri" w:eastAsia="Calibri" w:hAnsi="Calibri"/>
          <w:color w:val="374151"/>
          <w:sz w:val="21"/>
          <w:szCs w:val="21"/>
        </w:rPr>
        <w:t xml:space="preserve">Refresh token: 7 days, stored in HTTP-only cookie — inaccessible to JavaScript</w:t>
      </w:r>
    </w:p>
    <w:p>
      <w:pPr>
        <w:pStyle w:val="ListParagraph"/>
        <w:numPr>
          <w:ilvl w:val="0"/>
          <w:numId w:val="1"/>
        </w:numPr>
        <w:spacing w:after="60" w:before="60"/>
      </w:pPr>
      <w:r>
        <w:rPr>
          <w:rFonts w:ascii="Calibri" w:cs="Calibri" w:eastAsia="Calibri" w:hAnsi="Calibri"/>
          <w:color w:val="374151"/>
          <w:sz w:val="21"/>
          <w:szCs w:val="21"/>
        </w:rPr>
        <w:t xml:space="preserve">SameSite=Lax cookie policy — blocks CSRF from cross-origin forms</w:t>
      </w:r>
    </w:p>
    <w:p>
      <w:pPr>
        <w:pStyle w:val="ListParagraph"/>
        <w:numPr>
          <w:ilvl w:val="0"/>
          <w:numId w:val="1"/>
        </w:numPr>
        <w:spacing w:after="60" w:before="60"/>
      </w:pPr>
      <w:r>
        <w:rPr>
          <w:rFonts w:ascii="Calibri" w:cs="Calibri" w:eastAsia="Calibri" w:hAnsi="Calibri"/>
          <w:color w:val="374151"/>
          <w:sz w:val="21"/>
          <w:szCs w:val="21"/>
        </w:rPr>
        <w:t xml:space="preserve">Token rotation on every refresh — old refresh token invalidated immediately</w:t>
      </w:r>
    </w:p>
    <w:p>
      <w:pPr>
        <w:pStyle w:val="Heading3"/>
        <w:spacing w:after="80" w:before="240"/>
      </w:pPr>
      <w:r>
        <w:rPr>
          <w:rFonts w:ascii="Calibri" w:cs="Calibri" w:eastAsia="Calibri" w:hAnsi="Calibri"/>
          <w:b/>
          <w:bCs/>
          <w:color w:val="374151"/>
          <w:sz w:val="28"/>
          <w:szCs w:val="28"/>
        </w:rPr>
        <w:t xml:space="preserve">Layer 3 — Authorisation</w:t>
      </w:r>
    </w:p>
    <w:p>
      <w:pPr>
        <w:pStyle w:val="ListParagraph"/>
        <w:numPr>
          <w:ilvl w:val="0"/>
          <w:numId w:val="1"/>
        </w:numPr>
        <w:spacing w:after="60" w:before="60"/>
      </w:pPr>
      <w:r>
        <w:rPr>
          <w:rFonts w:ascii="Calibri" w:cs="Calibri" w:eastAsia="Calibri" w:hAnsi="Calibri"/>
          <w:color w:val="374151"/>
          <w:sz w:val="21"/>
          <w:szCs w:val="21"/>
        </w:rPr>
        <w:t xml:space="preserve">RBAC: every endpoint checks role (ADMIN, MANAGER, OPERATOR, VIEWER) before processing</w:t>
      </w:r>
    </w:p>
    <w:p>
      <w:pPr>
        <w:pStyle w:val="ListParagraph"/>
        <w:numPr>
          <w:ilvl w:val="0"/>
          <w:numId w:val="1"/>
        </w:numPr>
        <w:spacing w:after="60" w:before="60"/>
      </w:pPr>
      <w:r>
        <w:rPr>
          <w:rFonts w:ascii="Calibri" w:cs="Calibri" w:eastAsia="Calibri" w:hAnsi="Calibri"/>
          <w:color w:val="374151"/>
          <w:sz w:val="21"/>
          <w:szCs w:val="21"/>
        </w:rPr>
        <w:t xml:space="preserve">Module gate middleware: tenants without a module licensed receive 403 before handler runs</w:t>
      </w:r>
    </w:p>
    <w:p>
      <w:pPr>
        <w:pStyle w:val="ListParagraph"/>
        <w:numPr>
          <w:ilvl w:val="0"/>
          <w:numId w:val="1"/>
        </w:numPr>
        <w:spacing w:after="60" w:before="60"/>
      </w:pPr>
      <w:r>
        <w:rPr>
          <w:rFonts w:ascii="Calibri" w:cs="Calibri" w:eastAsia="Calibri" w:hAnsi="Calibri"/>
          <w:color w:val="374151"/>
          <w:sz w:val="21"/>
          <w:szCs w:val="21"/>
        </w:rPr>
        <w:t xml:space="preserve">Row-Level Security in PostgreSQL: even if application code has a bug, database refuses cross-tenant reads</w:t>
      </w:r>
    </w:p>
    <w:p>
      <w:pPr>
        <w:pStyle w:val="ListParagraph"/>
        <w:numPr>
          <w:ilvl w:val="0"/>
          <w:numId w:val="1"/>
        </w:numPr>
        <w:spacing w:after="60" w:before="60"/>
      </w:pPr>
      <w:r>
        <w:rPr>
          <w:rFonts w:ascii="Calibri" w:cs="Calibri" w:eastAsia="Calibri" w:hAnsi="Calibri"/>
          <w:color w:val="374151"/>
          <w:sz w:val="21"/>
          <w:szCs w:val="21"/>
        </w:rPr>
        <w:t xml:space="preserve">Field-level: sensitive fields (passwords, tokens) never appear in API responses</w:t>
      </w:r>
    </w:p>
    <w:p>
      <w:pPr>
        <w:pStyle w:val="Heading3"/>
        <w:spacing w:after="80" w:before="240"/>
      </w:pPr>
      <w:r>
        <w:rPr>
          <w:rFonts w:ascii="Calibri" w:cs="Calibri" w:eastAsia="Calibri" w:hAnsi="Calibri"/>
          <w:b/>
          <w:bCs/>
          <w:color w:val="374151"/>
          <w:sz w:val="28"/>
          <w:szCs w:val="28"/>
        </w:rPr>
        <w:t xml:space="preserve">Layer 4 — Data</w:t>
      </w:r>
    </w:p>
    <w:p>
      <w:pPr>
        <w:pStyle w:val="ListParagraph"/>
        <w:numPr>
          <w:ilvl w:val="0"/>
          <w:numId w:val="1"/>
        </w:numPr>
        <w:spacing w:after="60" w:before="60"/>
      </w:pPr>
      <w:r>
        <w:rPr>
          <w:rFonts w:ascii="Calibri" w:cs="Calibri" w:eastAsia="Calibri" w:hAnsi="Calibri"/>
          <w:color w:val="374151"/>
          <w:sz w:val="21"/>
          <w:szCs w:val="21"/>
        </w:rPr>
        <w:t xml:space="preserve">sqlc only — parameterised queries generated at compile time. SQL injection is structurally impossible</w:t>
      </w:r>
    </w:p>
    <w:p>
      <w:pPr>
        <w:pStyle w:val="ListParagraph"/>
        <w:numPr>
          <w:ilvl w:val="0"/>
          <w:numId w:val="1"/>
        </w:numPr>
        <w:spacing w:after="60" w:before="60"/>
      </w:pPr>
      <w:r>
        <w:rPr>
          <w:rFonts w:ascii="Calibri" w:cs="Calibri" w:eastAsia="Calibri" w:hAnsi="Calibri"/>
          <w:color w:val="374151"/>
          <w:sz w:val="21"/>
          <w:szCs w:val="21"/>
        </w:rPr>
        <w:t xml:space="preserve">No string concatenation in queries — enforced by code review rule</w:t>
      </w:r>
    </w:p>
    <w:p>
      <w:pPr>
        <w:pStyle w:val="ListParagraph"/>
        <w:numPr>
          <w:ilvl w:val="0"/>
          <w:numId w:val="1"/>
        </w:numPr>
        <w:spacing w:after="60" w:before="60"/>
      </w:pPr>
      <w:r>
        <w:rPr>
          <w:rFonts w:ascii="Calibri" w:cs="Calibri" w:eastAsia="Calibri" w:hAnsi="Calibri"/>
          <w:color w:val="374151"/>
          <w:sz w:val="21"/>
          <w:szCs w:val="21"/>
        </w:rPr>
        <w:t xml:space="preserve">Passwords: bcrypt cost factor 12 — 2^12 iterations, resistant to GPU brute force</w:t>
      </w:r>
    </w:p>
    <w:p>
      <w:pPr>
        <w:pStyle w:val="ListParagraph"/>
        <w:numPr>
          <w:ilvl w:val="0"/>
          <w:numId w:val="1"/>
        </w:numPr>
        <w:spacing w:after="60" w:before="60"/>
      </w:pPr>
      <w:r>
        <w:rPr>
          <w:rFonts w:ascii="Calibri" w:cs="Calibri" w:eastAsia="Calibri" w:hAnsi="Calibri"/>
          <w:color w:val="374151"/>
          <w:sz w:val="21"/>
          <w:szCs w:val="21"/>
        </w:rPr>
        <w:t xml:space="preserve">No plaintext secrets in code — environment variables only, Vault in production</w:t>
      </w:r>
    </w:p>
    <w:p>
      <w:pPr>
        <w:pStyle w:val="ListParagraph"/>
        <w:numPr>
          <w:ilvl w:val="0"/>
          <w:numId w:val="1"/>
        </w:numPr>
        <w:spacing w:after="60" w:before="60"/>
      </w:pPr>
      <w:r>
        <w:rPr>
          <w:rFonts w:ascii="Calibri" w:cs="Calibri" w:eastAsia="Calibri" w:hAnsi="Calibri"/>
          <w:color w:val="374151"/>
          <w:sz w:val="21"/>
          <w:szCs w:val="21"/>
        </w:rPr>
        <w:t xml:space="preserve">Audit log: every mutation (INSERT/UPDATE/DELETE) is append-only logged with before+after state</w:t>
      </w:r>
    </w:p>
    <w:p>
      <w:pPr>
        <w:pStyle w:val="Heading3"/>
        <w:spacing w:after="80" w:before="240"/>
      </w:pPr>
      <w:r>
        <w:rPr>
          <w:rFonts w:ascii="Calibri" w:cs="Calibri" w:eastAsia="Calibri" w:hAnsi="Calibri"/>
          <w:b/>
          <w:bCs/>
          <w:color w:val="374151"/>
          <w:sz w:val="28"/>
          <w:szCs w:val="28"/>
        </w:rPr>
        <w:t xml:space="preserve">Layer 5 — Infrastructure</w:t>
      </w:r>
    </w:p>
    <w:p>
      <w:pPr>
        <w:pStyle w:val="ListParagraph"/>
        <w:numPr>
          <w:ilvl w:val="0"/>
          <w:numId w:val="1"/>
        </w:numPr>
        <w:spacing w:after="60" w:before="60"/>
      </w:pPr>
      <w:r>
        <w:rPr>
          <w:rFonts w:ascii="Calibri" w:cs="Calibri" w:eastAsia="Calibri" w:hAnsi="Calibri"/>
          <w:color w:val="374151"/>
          <w:sz w:val="21"/>
          <w:szCs w:val="21"/>
        </w:rPr>
        <w:t xml:space="preserve">Docker: non-root user inside container</w:t>
      </w:r>
    </w:p>
    <w:p>
      <w:pPr>
        <w:pStyle w:val="ListParagraph"/>
        <w:numPr>
          <w:ilvl w:val="0"/>
          <w:numId w:val="1"/>
        </w:numPr>
        <w:spacing w:after="60" w:before="60"/>
      </w:pPr>
      <w:r>
        <w:rPr>
          <w:rFonts w:ascii="Calibri" w:cs="Calibri" w:eastAsia="Calibri" w:hAnsi="Calibri"/>
          <w:color w:val="374151"/>
          <w:sz w:val="21"/>
          <w:szCs w:val="21"/>
        </w:rPr>
        <w:t xml:space="preserve">PostgreSQL: dedicated application user with minimum required permissions</w:t>
      </w:r>
    </w:p>
    <w:p>
      <w:pPr>
        <w:pStyle w:val="ListParagraph"/>
        <w:numPr>
          <w:ilvl w:val="0"/>
          <w:numId w:val="1"/>
        </w:numPr>
        <w:spacing w:after="60" w:before="60"/>
      </w:pPr>
      <w:r>
        <w:rPr>
          <w:rFonts w:ascii="Calibri" w:cs="Calibri" w:eastAsia="Calibri" w:hAnsi="Calibri"/>
          <w:color w:val="374151"/>
          <w:sz w:val="21"/>
          <w:szCs w:val="21"/>
        </w:rPr>
        <w:t xml:space="preserve">Redis: password-protected, no public exposure</w:t>
      </w:r>
    </w:p>
    <w:p>
      <w:pPr>
        <w:pStyle w:val="ListParagraph"/>
        <w:numPr>
          <w:ilvl w:val="0"/>
          <w:numId w:val="1"/>
        </w:numPr>
        <w:spacing w:after="60" w:before="60"/>
      </w:pPr>
      <w:r>
        <w:rPr>
          <w:rFonts w:ascii="Calibri" w:cs="Calibri" w:eastAsia="Calibri" w:hAnsi="Calibri"/>
          <w:color w:val="374151"/>
          <w:sz w:val="21"/>
          <w:szCs w:val="21"/>
        </w:rPr>
        <w:t xml:space="preserve">Kubernetes: Pod Security Admission, network policies, no privileged containers (Phase 3)</w:t>
      </w:r>
    </w:p>
    <w:p>
      <w:pPr>
        <w:pStyle w:val="Heading2"/>
        <w:pBdr>
          <w:bottom w:val="single" w:color="F59E0B" w:sz="4"/>
        </w:pBdr>
        <w:spacing w:after="120" w:before="360"/>
      </w:pPr>
      <w:r>
        <w:rPr>
          <w:rFonts w:ascii="Calibri" w:cs="Calibri" w:eastAsia="Calibri" w:hAnsi="Calibri"/>
          <w:b/>
          <w:bCs/>
          <w:color w:val="1A1A2E"/>
          <w:sz w:val="36"/>
          <w:szCs w:val="36"/>
        </w:rPr>
        <w:t xml:space="preserve">3.2 What Cannot Be Exploited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Attack vector</w:t>
            </w:r>
          </w:p>
        </w:tc>
        <w:tc>
          <w:tcPr>
            <w:tcW w:type="dxa" w:w="6500"/>
            <w:shd w:color="1A1A2E" w:val="solid"/>
            <w:vAlign w:val="center"/>
          </w:tcPr>
          <w:p>
            <w:r>
              <w:rPr>
                <w:rFonts w:ascii="Calibri" w:cs="Calibri" w:eastAsia="Calibri" w:hAnsi="Calibri"/>
                <w:b/>
                <w:bCs/>
                <w:color w:val="FFFFFF"/>
                <w:sz w:val="20"/>
                <w:szCs w:val="20"/>
              </w:rPr>
              <w:t xml:space="preserve">Why it cannot work</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SQL injection</w:t>
            </w:r>
          </w:p>
        </w:tc>
        <w:tc>
          <w:tcPr>
            <w:tcW w:type="dxa" w:w="6500"/>
            <w:vAlign w:val="center"/>
          </w:tcPr>
          <w:p>
            <w:r>
              <w:rPr>
                <w:rFonts w:ascii="Calibri" w:cs="Calibri" w:eastAsia="Calibri" w:hAnsi="Calibri"/>
                <w:b w:val="false"/>
                <w:bCs w:val="false"/>
                <w:color w:val="374151"/>
                <w:sz w:val="20"/>
                <w:szCs w:val="20"/>
              </w:rPr>
              <w:t xml:space="preserve">sqlc generates parameterised queries at compile time. No string interpolation possible.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Cross-tenant data access</w:t>
            </w:r>
          </w:p>
        </w:tc>
        <w:tc>
          <w:tcPr>
            <w:tcW w:type="dxa" w:w="6500"/>
            <w:vAlign w:val="center"/>
          </w:tcPr>
          <w:p>
            <w:r>
              <w:rPr>
                <w:rFonts w:ascii="Calibri" w:cs="Calibri" w:eastAsia="Calibri" w:hAnsi="Calibri"/>
                <w:b w:val="false"/>
                <w:bCs w:val="false"/>
                <w:color w:val="374151"/>
                <w:sz w:val="20"/>
                <w:szCs w:val="20"/>
              </w:rPr>
              <w:t xml:space="preserve">PostgreSQL RLS rejects queries that cross tenant_id boundaries at database level, independently of application code.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JWT forgery</w:t>
            </w:r>
          </w:p>
        </w:tc>
        <w:tc>
          <w:tcPr>
            <w:tcW w:type="dxa" w:w="6500"/>
            <w:vAlign w:val="center"/>
          </w:tcPr>
          <w:p>
            <w:r>
              <w:rPr>
                <w:rFonts w:ascii="Calibri" w:cs="Calibri" w:eastAsia="Calibri" w:hAnsi="Calibri"/>
                <w:b w:val="false"/>
                <w:bCs w:val="false"/>
                <w:color w:val="374151"/>
                <w:sz w:val="20"/>
                <w:szCs w:val="20"/>
              </w:rPr>
              <w:t xml:space="preserve">RS256 asymmetric signing — attacker needs the private key, which never leaves the server.</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CSRF</w:t>
            </w:r>
          </w:p>
        </w:tc>
        <w:tc>
          <w:tcPr>
            <w:tcW w:type="dxa" w:w="6500"/>
            <w:vAlign w:val="center"/>
          </w:tcPr>
          <w:p>
            <w:r>
              <w:rPr>
                <w:rFonts w:ascii="Calibri" w:cs="Calibri" w:eastAsia="Calibri" w:hAnsi="Calibri"/>
                <w:b w:val="false"/>
                <w:bCs w:val="false"/>
                <w:color w:val="374151"/>
                <w:sz w:val="20"/>
                <w:szCs w:val="20"/>
              </w:rPr>
              <w:t xml:space="preserve">HTTP-only cookie + SameSite=Lax — cross-origin form submissions cannot attach the cookie.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XSS stealing tokens</w:t>
            </w:r>
          </w:p>
        </w:tc>
        <w:tc>
          <w:tcPr>
            <w:tcW w:type="dxa" w:w="6500"/>
            <w:vAlign w:val="center"/>
          </w:tcPr>
          <w:p>
            <w:r>
              <w:rPr>
                <w:rFonts w:ascii="Calibri" w:cs="Calibri" w:eastAsia="Calibri" w:hAnsi="Calibri"/>
                <w:b w:val="false"/>
                <w:bCs w:val="false"/>
                <w:color w:val="374151"/>
                <w:sz w:val="20"/>
                <w:szCs w:val="20"/>
              </w:rPr>
              <w:t xml:space="preserve">Tokens in HTTP-only cookies — JavaScript cannot read them regardless of XSS.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Brute force auth</w:t>
            </w:r>
          </w:p>
        </w:tc>
        <w:tc>
          <w:tcPr>
            <w:tcW w:type="dxa" w:w="6500"/>
            <w:vAlign w:val="center"/>
          </w:tcPr>
          <w:p>
            <w:r>
              <w:rPr>
                <w:rFonts w:ascii="Calibri" w:cs="Calibri" w:eastAsia="Calibri" w:hAnsi="Calibri"/>
                <w:b w:val="false"/>
                <w:bCs w:val="false"/>
                <w:color w:val="374151"/>
                <w:sz w:val="20"/>
                <w:szCs w:val="20"/>
              </w:rPr>
              <w:t xml:space="preserve">Rate limiting (100 req/min per IP) + bcrypt cost 12 (slow hash) + account lockout after 5 failures.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Privilege escalation</w:t>
            </w:r>
          </w:p>
        </w:tc>
        <w:tc>
          <w:tcPr>
            <w:tcW w:type="dxa" w:w="6500"/>
            <w:vAlign w:val="center"/>
          </w:tcPr>
          <w:p>
            <w:r>
              <w:rPr>
                <w:rFonts w:ascii="Calibri" w:cs="Calibri" w:eastAsia="Calibri" w:hAnsi="Calibri"/>
                <w:b w:val="false"/>
                <w:bCs w:val="false"/>
                <w:color w:val="374151"/>
                <w:sz w:val="20"/>
                <w:szCs w:val="20"/>
              </w:rPr>
              <w:t xml:space="preserve">Role checked on every request in middleware before handler runs. Role stored in JWT claim, signed by server.</w:t>
            </w:r>
          </w:p>
        </w:tc>
      </w:tr>
      <w:tr>
        <w:trPr>
          <w:tblHeader w:val="false"/>
        </w:trPr>
        <w:tc>
          <w:tcPr>
            <w:tcW w:type="dxa" w:w="3000"/>
            <w:vAlign w:val="center"/>
          </w:tcPr>
          <w:p>
            <w:r>
              <w:rPr>
                <w:rFonts w:ascii="Calibri" w:cs="Calibri" w:eastAsia="Calibri" w:hAnsi="Calibri"/>
                <w:b w:val="false"/>
                <w:bCs w:val="false"/>
                <w:color w:val="111111"/>
                <w:sz w:val="20"/>
                <w:szCs w:val="20"/>
              </w:rPr>
              <w:t xml:space="preserve">Replay attacks</w:t>
            </w:r>
          </w:p>
        </w:tc>
        <w:tc>
          <w:tcPr>
            <w:tcW w:type="dxa" w:w="6500"/>
            <w:vAlign w:val="center"/>
          </w:tcPr>
          <w:p>
            <w:r>
              <w:rPr>
                <w:rFonts w:ascii="Calibri" w:cs="Calibri" w:eastAsia="Calibri" w:hAnsi="Calibri"/>
                <w:b w:val="false"/>
                <w:bCs w:val="false"/>
                <w:color w:val="374151"/>
                <w:sz w:val="20"/>
                <w:szCs w:val="20"/>
              </w:rPr>
              <w:t xml:space="preserve">Access tokens expire in 15 minutes. Refresh tokens rotate on every use — replay detected and account locked.</w:t>
            </w:r>
          </w:p>
        </w:tc>
      </w:tr>
    </w:tbl>
    <w:p>
      <w:r>
        <w:br w:type="page"/>
      </w:r>
    </w:p>
    <w:p>
      <w:pPr>
        <w:pStyle w:val="Heading1"/>
        <w:spacing w:after="160" w:before="480"/>
      </w:pPr>
      <w:r>
        <w:rPr>
          <w:rFonts w:ascii="Calibri" w:cs="Calibri" w:eastAsia="Calibri" w:hAnsi="Calibri"/>
          <w:b/>
          <w:bCs/>
          <w:color w:val="1A1A2E"/>
          <w:sz w:val="52"/>
          <w:szCs w:val="52"/>
        </w:rPr>
        <w:t xml:space="preserve">4. Development Methodology</w:t>
      </w:r>
    </w:p>
    <w:p>
      <w:pPr>
        <w:pStyle w:val="Heading2"/>
        <w:pBdr>
          <w:bottom w:val="single" w:color="F59E0B" w:sz="4"/>
        </w:pBdr>
        <w:spacing w:after="120" w:before="360"/>
      </w:pPr>
      <w:r>
        <w:rPr>
          <w:rFonts w:ascii="Calibri" w:cs="Calibri" w:eastAsia="Calibri" w:hAnsi="Calibri"/>
          <w:b/>
          <w:bCs/>
          <w:color w:val="1A1A2E"/>
          <w:sz w:val="36"/>
          <w:szCs w:val="36"/>
        </w:rPr>
        <w:t xml:space="preserve">4.1 The Build Sequence Law</w:t>
      </w:r>
    </w:p>
    <w:p>
      <w:pPr>
        <w:spacing w:after="80" w:before="80"/>
      </w:pPr>
      <w:r>
        <w:rPr>
          <w:rFonts w:ascii="Calibri" w:cs="Calibri" w:eastAsia="Calibri" w:hAnsi="Calibri"/>
          <w:b w:val="false"/>
          <w:bCs w:val="false"/>
          <w:i w:val="false"/>
          <w:iCs w:val="false"/>
          <w:color w:val="374151"/>
          <w:sz w:val="22"/>
          <w:szCs w:val="22"/>
        </w:rPr>
        <w:t xml:space="preserve">Every module is built in dependency order. You cannot build RouteRunner before DealFlow because shipments reference sales orders. You cannot build QualityGate before MaterialHub because inspections reference materials. The build sequence is not a suggestion — it is a technical dependency graph.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Step</w:t>
            </w:r>
          </w:p>
        </w:tc>
        <w:tc>
          <w:tcPr>
            <w:tcW w:type="dxa" w:w="6500"/>
            <w:shd w:color="1A1A2E" w:val="solid"/>
            <w:vAlign w:val="center"/>
          </w:tcPr>
          <w:p>
            <w:r>
              <w:rPr>
                <w:rFonts w:ascii="Calibri" w:cs="Calibri" w:eastAsia="Calibri" w:hAnsi="Calibri"/>
                <w:b/>
                <w:bCs/>
                <w:color w:val="FFFFFF"/>
                <w:sz w:val="20"/>
                <w:szCs w:val="20"/>
              </w:rPr>
              <w:t xml:space="preserve">Module &amp; Dependency Reason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1</w:t>
            </w:r>
          </w:p>
        </w:tc>
        <w:tc>
          <w:tcPr>
            <w:tcW w:type="dxa" w:w="6500"/>
            <w:vAlign w:val="center"/>
          </w:tcPr>
          <w:p>
            <w:r>
              <w:rPr>
                <w:rFonts w:ascii="Calibri" w:cs="Calibri" w:eastAsia="Calibri" w:hAnsi="Calibri"/>
                <w:b w:val="false"/>
                <w:bCs w:val="false"/>
                <w:color w:val="374151"/>
                <w:sz w:val="20"/>
                <w:szCs w:val="20"/>
              </w:rPr>
              <w:t xml:space="preserve">MaterialHub — materials must exist before anything can reference them</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2</w:t>
            </w:r>
          </w:p>
        </w:tc>
        <w:tc>
          <w:tcPr>
            <w:tcW w:type="dxa" w:w="6500"/>
            <w:vAlign w:val="center"/>
          </w:tcPr>
          <w:p>
            <w:r>
              <w:rPr>
                <w:rFonts w:ascii="Calibri" w:cs="Calibri" w:eastAsia="Calibri" w:hAnsi="Calibri"/>
                <w:b w:val="false"/>
                <w:bCs w:val="false"/>
                <w:color w:val="374151"/>
                <w:sz w:val="20"/>
                <w:szCs w:val="20"/>
              </w:rPr>
              <w:t xml:space="preserve">DealFlow — sales orders reference customers and materials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3</w:t>
            </w:r>
          </w:p>
        </w:tc>
        <w:tc>
          <w:tcPr>
            <w:tcW w:type="dxa" w:w="6500"/>
            <w:vAlign w:val="center"/>
          </w:tcPr>
          <w:p>
            <w:r>
              <w:rPr>
                <w:rFonts w:ascii="Calibri" w:cs="Calibri" w:eastAsia="Calibri" w:hAnsi="Calibri"/>
                <w:b w:val="false"/>
                <w:bCs w:val="false"/>
                <w:color w:val="374151"/>
                <w:sz w:val="20"/>
                <w:szCs w:val="20"/>
              </w:rPr>
              <w:t xml:space="preserve">RouteRunner — shipments reference confirmed sales orders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4</w:t>
            </w:r>
          </w:p>
        </w:tc>
        <w:tc>
          <w:tcPr>
            <w:tcW w:type="dxa" w:w="6500"/>
            <w:vAlign w:val="center"/>
          </w:tcPr>
          <w:p>
            <w:r>
              <w:rPr>
                <w:rFonts w:ascii="Calibri" w:cs="Calibri" w:eastAsia="Calibri" w:hAnsi="Calibri"/>
                <w:b w:val="false"/>
                <w:bCs w:val="false"/>
                <w:color w:val="374151"/>
                <w:sz w:val="20"/>
                <w:szCs w:val="20"/>
              </w:rPr>
              <w:t xml:space="preserve">Supply Pacts + Vendor Scorecard — pacts reference suppliers, scorecard references QC results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5</w:t>
            </w:r>
          </w:p>
        </w:tc>
        <w:tc>
          <w:tcPr>
            <w:tcW w:type="dxa" w:w="6500"/>
            <w:vAlign w:val="center"/>
          </w:tcPr>
          <w:p>
            <w:r>
              <w:rPr>
                <w:rFonts w:ascii="Calibri" w:cs="Calibri" w:eastAsia="Calibri" w:hAnsi="Calibri"/>
                <w:b w:val="false"/>
                <w:bCs w:val="false"/>
                <w:color w:val="374151"/>
                <w:sz w:val="20"/>
                <w:szCs w:val="20"/>
              </w:rPr>
              <w:t xml:space="preserve">BuildOrder — build orders reference materials and BOM</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6</w:t>
            </w:r>
          </w:p>
        </w:tc>
        <w:tc>
          <w:tcPr>
            <w:tcW w:type="dxa" w:w="6500"/>
            <w:vAlign w:val="center"/>
          </w:tcPr>
          <w:p>
            <w:r>
              <w:rPr>
                <w:rFonts w:ascii="Calibri" w:cs="Calibri" w:eastAsia="Calibri" w:hAnsi="Calibri"/>
                <w:b w:val="false"/>
                <w:bCs w:val="false"/>
                <w:color w:val="374151"/>
                <w:sz w:val="20"/>
                <w:szCs w:val="20"/>
              </w:rPr>
              <w:t xml:space="preserve">QualityGate — inspections reference GR documents and suppliers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7</w:t>
            </w:r>
          </w:p>
        </w:tc>
        <w:tc>
          <w:tcPr>
            <w:tcW w:type="dxa" w:w="6500"/>
            <w:vAlign w:val="center"/>
          </w:tcPr>
          <w:p>
            <w:r>
              <w:rPr>
                <w:rFonts w:ascii="Calibri" w:cs="Calibri" w:eastAsia="Calibri" w:hAnsi="Calibri"/>
                <w:b w:val="false"/>
                <w:bCs w:val="false"/>
                <w:color w:val="374151"/>
                <w:sz w:val="20"/>
                <w:szCs w:val="20"/>
              </w:rPr>
              <w:t xml:space="preserve">Price Formulas — pricing engine independent, can be built any time after MM</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8</w:t>
            </w:r>
          </w:p>
        </w:tc>
        <w:tc>
          <w:tcPr>
            <w:tcW w:type="dxa" w:w="6500"/>
            <w:vAlign w:val="center"/>
          </w:tcPr>
          <w:p>
            <w:r>
              <w:rPr>
                <w:rFonts w:ascii="Calibri" w:cs="Calibri" w:eastAsia="Calibri" w:hAnsi="Calibri"/>
                <w:b w:val="false"/>
                <w:bCs w:val="false"/>
                <w:color w:val="374151"/>
                <w:sz w:val="20"/>
                <w:szCs w:val="20"/>
              </w:rPr>
              <w:t xml:space="preserve">Document Dispatch — integrates across all modules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9</w:t>
            </w:r>
          </w:p>
        </w:tc>
        <w:tc>
          <w:tcPr>
            <w:tcW w:type="dxa" w:w="6500"/>
            <w:vAlign w:val="center"/>
          </w:tcPr>
          <w:p>
            <w:r>
              <w:rPr>
                <w:rFonts w:ascii="Calibri" w:cs="Calibri" w:eastAsia="Calibri" w:hAnsi="Calibri"/>
                <w:b w:val="false"/>
                <w:bCs w:val="false"/>
                <w:color w:val="374151"/>
                <w:sz w:val="20"/>
                <w:szCs w:val="20"/>
              </w:rPr>
              <w:t xml:space="preserve">Multi-tenant RLS + Module Capability Gate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Step 10</w:t>
            </w:r>
          </w:p>
        </w:tc>
        <w:tc>
          <w:tcPr>
            <w:tcW w:type="dxa" w:w="6500"/>
            <w:vAlign w:val="center"/>
          </w:tcPr>
          <w:p>
            <w:r>
              <w:rPr>
                <w:rFonts w:ascii="Calibri" w:cs="Calibri" w:eastAsia="Calibri" w:hAnsi="Calibri"/>
                <w:b w:val="false"/>
                <w:bCs w:val="false"/>
                <w:color w:val="374151"/>
                <w:sz w:val="20"/>
                <w:szCs w:val="20"/>
              </w:rPr>
              <w:t xml:space="preserve">Performance baseline — EXPLAIN ANALYZE top queries</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4.2 The Compile Gate Rule</w:t>
      </w:r>
    </w:p>
    <w:p>
      <w:pPr>
        <w:spacing w:after="80" w:before="80"/>
      </w:pPr>
      <w:r>
        <w:rPr>
          <w:rFonts w:ascii="Calibri" w:cs="Calibri" w:eastAsia="Calibri" w:hAnsi="Calibri"/>
          <w:b w:val="false"/>
          <w:bCs w:val="false"/>
          <w:i w:val="false"/>
          <w:iCs w:val="false"/>
          <w:color w:val="374151"/>
          <w:sz w:val="22"/>
          <w:szCs w:val="22"/>
        </w:rPr>
        <w:t xml:space="preserve">This is the most important process rule. No exceptions.</w:t>
      </w:r>
    </w:p>
    <w:p>
      <w:pPr>
        <w:shd w:color="FEE2E2" w:val="solid"/>
        <w:spacing w:after="120" w:before="120"/>
      </w:pPr>
      <w:r>
        <w:rPr>
          <w:rFonts w:ascii="Calibri" w:cs="Calibri" w:eastAsia="Calibri" w:hAnsi="Calibri"/>
          <w:b/>
          <w:bCs/>
          <w:color w:val="1A1A2E"/>
          <w:sz w:val="21"/>
          <w:szCs w:val="21"/>
        </w:rPr>
        <w:t xml:space="preserve">⛔ MANDATORY  </w:t>
      </w:r>
      <w:r>
        <w:rPr>
          <w:rFonts w:ascii="Calibri" w:cs="Calibri" w:eastAsia="Calibri" w:hAnsi="Calibri"/>
          <w:color w:val="1A1A2E"/>
          <w:sz w:val="21"/>
          <w:szCs w:val="21"/>
        </w:rPr>
        <w:t xml:space="preserve">After every single Go file edit, run the compile gate. If it fails, fix it before writing the next line of code.</w:t>
      </w:r>
    </w:p>
    <w:p>
      <w:pPr>
        <w:shd w:color="1E293B" w:val="solid"/>
        <w:spacing w:after="80" w:before="80"/>
      </w:pPr>
      <w:r>
        <w:rPr>
          <w:rFonts w:ascii="Courier New" w:cs="Courier New" w:eastAsia="Courier New" w:hAnsi="Courier New"/>
          <w:color w:val="E2E8F0"/>
          <w:sz w:val="19"/>
          <w:szCs w:val="19"/>
        </w:rPr>
        <w:t xml:space="preserve">docker run --rm -v /path/to/backend:/app -w /app golang:1.22-bookworm go build ./... 2&gt;&amp;1</w:t>
      </w:r>
    </w:p>
    <w:p>
      <w:pPr>
        <w:spacing w:after="80" w:before="80"/>
      </w:pPr>
      <w:r>
        <w:rPr>
          <w:rFonts w:ascii="Calibri" w:cs="Calibri" w:eastAsia="Calibri" w:hAnsi="Calibri"/>
          <w:b w:val="false"/>
          <w:bCs w:val="false"/>
          <w:i w:val="false"/>
          <w:iCs w:val="false"/>
          <w:color w:val="374151"/>
          <w:sz w:val="22"/>
          <w:szCs w:val="22"/>
        </w:rPr>
        <w:t xml:space="preserve">Why: Air (the hot-reload tool) serves the last successfully compiled binary. If your current code has errors, you are running old code and don't know it. The compile gate runs the real compiler and fails loudly.</w:t>
      </w:r>
    </w:p>
    <w:p>
      <w:pPr>
        <w:pStyle w:val="Heading2"/>
        <w:pBdr>
          <w:bottom w:val="single" w:color="F59E0B" w:sz="4"/>
        </w:pBdr>
        <w:spacing w:after="120" w:before="360"/>
      </w:pPr>
      <w:r>
        <w:rPr>
          <w:rFonts w:ascii="Calibri" w:cs="Calibri" w:eastAsia="Calibri" w:hAnsi="Calibri"/>
          <w:b/>
          <w:bCs/>
          <w:color w:val="1A1A2E"/>
          <w:sz w:val="36"/>
          <w:szCs w:val="36"/>
        </w:rPr>
        <w:t xml:space="preserve">4.3 The Audit-Before-Build Rule</w:t>
      </w:r>
    </w:p>
    <w:p>
      <w:pPr>
        <w:spacing w:after="80" w:before="80"/>
      </w:pPr>
      <w:r>
        <w:rPr>
          <w:rFonts w:ascii="Calibri" w:cs="Calibri" w:eastAsia="Calibri" w:hAnsi="Calibri"/>
          <w:b w:val="false"/>
          <w:bCs w:val="false"/>
          <w:i w:val="false"/>
          <w:iCs w:val="false"/>
          <w:color w:val="374151"/>
          <w:sz w:val="22"/>
          <w:szCs w:val="22"/>
        </w:rPr>
        <w:t xml:space="preserve">Before building any feature, audit what already exists. The RFQ duplicate (described in Section 7) happened because this rule was not followed.</w:t>
      </w:r>
    </w:p>
    <w:p>
      <w:pPr>
        <w:shd w:color="DBEAFE" w:val="solid"/>
        <w:spacing w:after="120" w:before="120"/>
      </w:pPr>
      <w:r>
        <w:rPr>
          <w:rFonts w:ascii="Calibri" w:cs="Calibri" w:eastAsia="Calibri" w:hAnsi="Calibri"/>
          <w:b/>
          <w:bCs/>
          <w:color w:val="1A1A2E"/>
          <w:sz w:val="21"/>
          <w:szCs w:val="21"/>
        </w:rPr>
        <w:t xml:space="preserve">📋 MANDATORY  </w:t>
      </w:r>
      <w:r>
        <w:rPr>
          <w:rFonts w:ascii="Calibri" w:cs="Calibri" w:eastAsia="Calibri" w:hAnsi="Calibri"/>
          <w:color w:val="1A1A2E"/>
          <w:sz w:val="21"/>
          <w:szCs w:val="21"/>
        </w:rPr>
        <w:t xml:space="preserve">Before building any new page, component, or API endpoint — grep the codebase for similar functionality. If it exists, extend it. Never duplicate.</w:t>
      </w:r>
    </w:p>
    <w:p>
      <w:pPr>
        <w:shd w:color="1E293B" w:val="solid"/>
        <w:spacing w:after="80" w:before="80"/>
      </w:pPr>
      <w:r>
        <w:rPr>
          <w:rFonts w:ascii="Courier New" w:cs="Courier New" w:eastAsia="Courier New" w:hAnsi="Courier New"/>
          <w:color w:val="E2E8F0"/>
          <w:sz w:val="19"/>
          <w:szCs w:val="19"/>
        </w:rPr>
        <w:t xml:space="preserve"># Before building a new RFQ page:</w:t>
      </w:r>
    </w:p>
    <w:p>
      <w:pPr>
        <w:shd w:color="1E293B" w:val="solid"/>
        <w:spacing w:after="80" w:before="80"/>
      </w:pPr>
      <w:r>
        <w:rPr>
          <w:rFonts w:ascii="Courier New" w:cs="Courier New" w:eastAsia="Courier New" w:hAnsi="Courier New"/>
          <w:color w:val="E2E8F0"/>
          <w:sz w:val="19"/>
          <w:szCs w:val="19"/>
        </w:rPr>
        <w:t xml:space="preserve">grep -rn 'rfq\|RFQ\|quotation' frontend/src --include='*.tsx' | grep -v node_modules</w:t>
      </w:r>
    </w:p>
    <w:p>
      <w:pPr>
        <w:shd w:color="1E293B" w:val="solid"/>
        <w:spacing w:after="80" w:before="80"/>
      </w:pPr>
      <w:r>
        <w:rPr>
          <w:rFonts w:ascii="Courier New" w:cs="Courier New" w:eastAsia="Courier New" w:hAnsi="Courier New"/>
          <w:color w:val="E2E8F0"/>
          <w:sz w:val="19"/>
          <w:szCs w:val="19"/>
        </w:rPr>
        <w:t xml:space="preserve">grep -rn 'rfq\|RFQ' backend/internal/api/router.go</w:t>
      </w:r>
    </w:p>
    <w:p>
      <w:pPr>
        <w:pStyle w:val="Heading2"/>
        <w:pBdr>
          <w:bottom w:val="single" w:color="F59E0B" w:sz="4"/>
        </w:pBdr>
        <w:spacing w:after="120" w:before="360"/>
      </w:pPr>
      <w:r>
        <w:rPr>
          <w:rFonts w:ascii="Calibri" w:cs="Calibri" w:eastAsia="Calibri" w:hAnsi="Calibri"/>
          <w:b/>
          <w:bCs/>
          <w:color w:val="1A1A2E"/>
          <w:sz w:val="36"/>
          <w:szCs w:val="36"/>
        </w:rPr>
        <w:t xml:space="preserve">4.4 The Verify-Before-Claim Rule</w:t>
      </w:r>
    </w:p>
    <w:p>
      <w:pPr>
        <w:spacing w:after="80" w:before="80"/>
      </w:pPr>
      <w:r>
        <w:rPr>
          <w:rFonts w:ascii="Calibri" w:cs="Calibri" w:eastAsia="Calibri" w:hAnsi="Calibri"/>
          <w:b w:val="false"/>
          <w:bCs w:val="false"/>
          <w:i w:val="false"/>
          <w:iCs w:val="false"/>
          <w:color w:val="374151"/>
          <w:sz w:val="22"/>
          <w:szCs w:val="22"/>
        </w:rPr>
        <w:t xml:space="preserve">No feature is 'done' until a curl command returns the expected HTTP status and data. Agent reports do not count. Browser screenshots do not count. Only curl output counts.</w:t>
      </w:r>
    </w:p>
    <w:p>
      <w:pPr>
        <w:shd w:color="1E293B" w:val="solid"/>
        <w:spacing w:after="80" w:before="80"/>
      </w:pPr>
      <w:r>
        <w:rPr>
          <w:rFonts w:ascii="Courier New" w:cs="Courier New" w:eastAsia="Courier New" w:hAnsi="Courier New"/>
          <w:color w:val="E2E8F0"/>
          <w:sz w:val="19"/>
          <w:szCs w:val="19"/>
        </w:rPr>
        <w:t xml:space="preserve"># Correct way to verify an endpoint works:</w:t>
      </w:r>
    </w:p>
    <w:p>
      <w:pPr>
        <w:shd w:color="1E293B" w:val="solid"/>
        <w:spacing w:after="80" w:before="80"/>
      </w:pPr>
      <w:r>
        <w:rPr>
          <w:rFonts w:ascii="Courier New" w:cs="Courier New" w:eastAsia="Courier New" w:hAnsi="Courier New"/>
          <w:color w:val="E2E8F0"/>
          <w:sz w:val="19"/>
          <w:szCs w:val="19"/>
        </w:rPr>
        <w:t xml:space="preserve">TOKEN=$(curl -s -X POST http://localhost:8080/api/auth/login \</w:t>
      </w:r>
    </w:p>
    <w:p>
      <w:pPr>
        <w:shd w:color="1E293B" w:val="solid"/>
        <w:spacing w:after="80" w:before="80"/>
      </w:pPr>
      <w:r>
        <w:rPr>
          <w:rFonts w:ascii="Courier New" w:cs="Courier New" w:eastAsia="Courier New" w:hAnsi="Courier New"/>
          <w:color w:val="E2E8F0"/>
          <w:sz w:val="19"/>
          <w:szCs w:val="19"/>
        </w:rPr>
        <w:t xml:space="preserve">  -H 'Content-Type: application/json' \</w:t>
      </w:r>
    </w:p>
    <w:p>
      <w:pPr>
        <w:shd w:color="1E293B" w:val="solid"/>
        <w:spacing w:after="80" w:before="80"/>
      </w:pPr>
      <w:r>
        <w:rPr>
          <w:rFonts w:ascii="Courier New" w:cs="Courier New" w:eastAsia="Courier New" w:hAnsi="Courier New"/>
          <w:color w:val="E2E8F0"/>
          <w:sz w:val="19"/>
          <w:szCs w:val="19"/>
        </w:rPr>
        <w:t xml:space="preserve">  -d '{"username":"admin","password":"admin123"}' | jq -r '.data.access_token')</w:t>
      </w:r>
    </w:p>
    <w:p>
      <w:pPr>
        <w:shd w:color="1E293B" w:val="solid"/>
        <w:spacing w:after="80" w:before="80"/>
      </w:pPr>
      <w:r>
        <w:rPr>
          <w:rFonts w:ascii="Courier New" w:cs="Courier New" w:eastAsia="Courier New" w:hAnsi="Courier New"/>
          <w:color w:val="E2E8F0"/>
          <w:sz w:val="19"/>
          <w:szCs w:val="19"/>
        </w:rPr>
        <w:t xml:space="preserve">curl -s -H "Authorization: Bearer $TOKEN" http://localhost:8080/api/YOUR_ENDPOINT | jq .</w:t>
      </w:r>
    </w:p>
    <w:p>
      <w:pPr>
        <w:pStyle w:val="Heading2"/>
        <w:pBdr>
          <w:bottom w:val="single" w:color="F59E0B" w:sz="4"/>
        </w:pBdr>
        <w:spacing w:after="120" w:before="360"/>
      </w:pPr>
      <w:r>
        <w:rPr>
          <w:rFonts w:ascii="Calibri" w:cs="Calibri" w:eastAsia="Calibri" w:hAnsi="Calibri"/>
          <w:b/>
          <w:bCs/>
          <w:color w:val="1A1A2E"/>
          <w:sz w:val="36"/>
          <w:szCs w:val="36"/>
        </w:rPr>
        <w:t xml:space="preserve">4.5 Session Safety Protocol</w:t>
      </w:r>
    </w:p>
    <w:p>
      <w:pPr>
        <w:pStyle w:val="ListParagraph"/>
        <w:numPr>
          <w:ilvl w:val="0"/>
          <w:numId w:val="1"/>
        </w:numPr>
        <w:spacing w:after="60" w:before="60"/>
      </w:pPr>
      <w:r>
        <w:rPr>
          <w:rFonts w:ascii="Calibri" w:cs="Calibri" w:eastAsia="Calibri" w:hAnsi="Calibri"/>
          <w:color w:val="374151"/>
          <w:sz w:val="21"/>
          <w:szCs w:val="21"/>
        </w:rPr>
        <w:t xml:space="preserve">Always git stash pop at the start of a session to restore uncommitted work</w:t>
      </w:r>
    </w:p>
    <w:p>
      <w:pPr>
        <w:pStyle w:val="ListParagraph"/>
        <w:numPr>
          <w:ilvl w:val="0"/>
          <w:numId w:val="1"/>
        </w:numPr>
        <w:spacing w:after="60" w:before="60"/>
      </w:pPr>
      <w:r>
        <w:rPr>
          <w:rFonts w:ascii="Calibri" w:cs="Calibri" w:eastAsia="Calibri" w:hAnsi="Calibri"/>
          <w:color w:val="374151"/>
          <w:sz w:val="21"/>
          <w:szCs w:val="21"/>
        </w:rPr>
        <w:t xml:space="preserve">git add -A &amp;&amp; git stash before any risky operation</w:t>
      </w:r>
    </w:p>
    <w:p>
      <w:pPr>
        <w:pStyle w:val="ListParagraph"/>
        <w:numPr>
          <w:ilvl w:val="0"/>
          <w:numId w:val="1"/>
        </w:numPr>
        <w:spacing w:after="60" w:before="60"/>
      </w:pPr>
      <w:r>
        <w:rPr>
          <w:rFonts w:ascii="Calibri" w:cs="Calibri" w:eastAsia="Calibri" w:hAnsi="Calibri"/>
          <w:color w:val="374151"/>
          <w:sz w:val="21"/>
          <w:szCs w:val="21"/>
        </w:rPr>
        <w:t xml:space="preserve">git commit after every completed step — never leave a working state uncommitted</w:t>
      </w:r>
    </w:p>
    <w:p>
      <w:pPr>
        <w:pStyle w:val="ListParagraph"/>
        <w:numPr>
          <w:ilvl w:val="0"/>
          <w:numId w:val="1"/>
        </w:numPr>
        <w:spacing w:after="60" w:before="60"/>
      </w:pPr>
      <w:r>
        <w:rPr>
          <w:rFonts w:ascii="Calibri" w:cs="Calibri" w:eastAsia="Calibri" w:hAnsi="Calibri"/>
          <w:color w:val="374151"/>
          <w:sz w:val="21"/>
          <w:szCs w:val="21"/>
        </w:rPr>
        <w:t xml:space="preserve">Keep Antigravity sessions under 45 minutes — freeze risk increases with session length</w:t>
      </w:r>
    </w:p>
    <w:p>
      <w:pPr>
        <w:pStyle w:val="ListParagraph"/>
        <w:numPr>
          <w:ilvl w:val="0"/>
          <w:numId w:val="1"/>
        </w:numPr>
        <w:spacing w:after="60" w:before="60"/>
      </w:pPr>
      <w:r>
        <w:rPr>
          <w:rFonts w:ascii="Calibri" w:cs="Calibri" w:eastAsia="Calibri" w:hAnsi="Calibri"/>
          <w:color w:val="374151"/>
          <w:sz w:val="21"/>
          <w:szCs w:val="21"/>
        </w:rPr>
        <w:t xml:space="preserve">The MCP server is the only surviving memory across sessions — update it after every step</w:t>
      </w:r>
    </w:p>
    <w:p>
      <w:r>
        <w:br w:type="page"/>
      </w:r>
    </w:p>
    <w:p>
      <w:pPr>
        <w:pStyle w:val="Heading1"/>
        <w:spacing w:after="160" w:before="480"/>
      </w:pPr>
      <w:r>
        <w:rPr>
          <w:rFonts w:ascii="Calibri" w:cs="Calibri" w:eastAsia="Calibri" w:hAnsi="Calibri"/>
          <w:b/>
          <w:bCs/>
          <w:color w:val="1A1A2E"/>
          <w:sz w:val="52"/>
          <w:szCs w:val="52"/>
        </w:rPr>
        <w:t xml:space="preserve">5. Duplicate Code Prevention</w:t>
      </w:r>
    </w:p>
    <w:p>
      <w:pPr>
        <w:pStyle w:val="Heading2"/>
        <w:pBdr>
          <w:bottom w:val="single" w:color="F59E0B" w:sz="4"/>
        </w:pBdr>
        <w:spacing w:after="120" w:before="360"/>
      </w:pPr>
      <w:r>
        <w:rPr>
          <w:rFonts w:ascii="Calibri" w:cs="Calibri" w:eastAsia="Calibri" w:hAnsi="Calibri"/>
          <w:b/>
          <w:bCs/>
          <w:color w:val="1A1A2E"/>
          <w:sz w:val="36"/>
          <w:szCs w:val="36"/>
        </w:rPr>
        <w:t xml:space="preserve">5.1 The Single Source of Truth Rule</w:t>
      </w:r>
    </w:p>
    <w:p>
      <w:pPr>
        <w:spacing w:after="80" w:before="80"/>
      </w:pPr>
      <w:r>
        <w:rPr>
          <w:rFonts w:ascii="Calibri" w:cs="Calibri" w:eastAsia="Calibri" w:hAnsi="Calibri"/>
          <w:b w:val="false"/>
          <w:bCs w:val="false"/>
          <w:i w:val="false"/>
          <w:iCs w:val="false"/>
          <w:color w:val="374151"/>
          <w:sz w:val="22"/>
          <w:szCs w:val="22"/>
        </w:rPr>
        <w:t xml:space="preserve">Every domain concept exists in exactly one place. If it exists in two places, it is a bug waiting to happen — one copy gets updated, the other does not.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Concept</w:t>
            </w:r>
          </w:p>
        </w:tc>
        <w:tc>
          <w:tcPr>
            <w:tcW w:type="dxa" w:w="6500"/>
            <w:shd w:color="1A1A2E" w:val="solid"/>
            <w:vAlign w:val="center"/>
          </w:tcPr>
          <w:p>
            <w:r>
              <w:rPr>
                <w:rFonts w:ascii="Calibri" w:cs="Calibri" w:eastAsia="Calibri" w:hAnsi="Calibri"/>
                <w:b/>
                <w:bCs/>
                <w:color w:val="FFFFFF"/>
                <w:sz w:val="20"/>
                <w:szCs w:val="20"/>
              </w:rPr>
              <w:t xml:space="preserve">Single location — never duplicated</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API route definitions</w:t>
            </w:r>
          </w:p>
        </w:tc>
        <w:tc>
          <w:tcPr>
            <w:tcW w:type="dxa" w:w="6500"/>
            <w:vAlign w:val="center"/>
          </w:tcPr>
          <w:p>
            <w:r>
              <w:rPr>
                <w:rFonts w:ascii="Calibri" w:cs="Calibri" w:eastAsia="Calibri" w:hAnsi="Calibri"/>
                <w:b w:val="false"/>
                <w:bCs w:val="false"/>
                <w:color w:val="374151"/>
                <w:sz w:val="20"/>
                <w:szCs w:val="20"/>
              </w:rPr>
              <w:t xml:space="preserve">backend/internal/api/router.go only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Database schema</w:t>
            </w:r>
          </w:p>
        </w:tc>
        <w:tc>
          <w:tcPr>
            <w:tcW w:type="dxa" w:w="6500"/>
            <w:vAlign w:val="center"/>
          </w:tcPr>
          <w:p>
            <w:r>
              <w:rPr>
                <w:rFonts w:ascii="Calibri" w:cs="Calibri" w:eastAsia="Calibri" w:hAnsi="Calibri"/>
                <w:b w:val="false"/>
                <w:bCs w:val="false"/>
                <w:color w:val="374151"/>
                <w:sz w:val="20"/>
                <w:szCs w:val="20"/>
              </w:rPr>
              <w:t xml:space="preserve">backend/internal/db/migrations/NNN_name.sql — one migration per feature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SQL queries</w:t>
            </w:r>
          </w:p>
        </w:tc>
        <w:tc>
          <w:tcPr>
            <w:tcW w:type="dxa" w:w="6500"/>
            <w:vAlign w:val="center"/>
          </w:tcPr>
          <w:p>
            <w:r>
              <w:rPr>
                <w:rFonts w:ascii="Calibri" w:cs="Calibri" w:eastAsia="Calibri" w:hAnsi="Calibri"/>
                <w:b w:val="false"/>
                <w:bCs w:val="false"/>
                <w:color w:val="374151"/>
                <w:sz w:val="20"/>
                <w:szCs w:val="20"/>
              </w:rPr>
              <w:t xml:space="preserve">backend/internal/db/queries/*.sql — generated by sqlc, never hand-written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CSS variables / design tokens</w:t>
            </w:r>
          </w:p>
        </w:tc>
        <w:tc>
          <w:tcPr>
            <w:tcW w:type="dxa" w:w="6500"/>
            <w:vAlign w:val="center"/>
          </w:tcPr>
          <w:p>
            <w:r>
              <w:rPr>
                <w:rFonts w:ascii="Calibri" w:cs="Calibri" w:eastAsia="Calibri" w:hAnsi="Calibri"/>
                <w:b w:val="false"/>
                <w:bCs w:val="false"/>
                <w:color w:val="374151"/>
                <w:sz w:val="20"/>
                <w:szCs w:val="20"/>
              </w:rPr>
              <w:t xml:space="preserve">frontend/src/design-system.css — imported once in main.tsx</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Section accent colors</w:t>
            </w:r>
          </w:p>
        </w:tc>
        <w:tc>
          <w:tcPr>
            <w:tcW w:type="dxa" w:w="6500"/>
            <w:vAlign w:val="center"/>
          </w:tcPr>
          <w:p>
            <w:r>
              <w:rPr>
                <w:rFonts w:ascii="Calibri" w:cs="Calibri" w:eastAsia="Calibri" w:hAnsi="Calibri"/>
                <w:b w:val="false"/>
                <w:bCs w:val="false"/>
                <w:color w:val="374151"/>
                <w:sz w:val="20"/>
                <w:szCs w:val="20"/>
              </w:rPr>
              <w:t xml:space="preserve">frontend/src/store/sectionStore.ts SECTIONS constant — read everywhere else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Module navigation</w:t>
            </w:r>
          </w:p>
        </w:tc>
        <w:tc>
          <w:tcPr>
            <w:tcW w:type="dxa" w:w="6500"/>
            <w:vAlign w:val="center"/>
          </w:tcPr>
          <w:p>
            <w:r>
              <w:rPr>
                <w:rFonts w:ascii="Calibri" w:cs="Calibri" w:eastAsia="Calibri" w:hAnsi="Calibri"/>
                <w:b w:val="false"/>
                <w:bCs w:val="false"/>
                <w:color w:val="374151"/>
                <w:sz w:val="20"/>
                <w:szCs w:val="20"/>
              </w:rPr>
              <w:t xml:space="preserve">frontend/src/pages/layout/Sidebar.tsx — single source of nav truth</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Auth token handling</w:t>
            </w:r>
          </w:p>
        </w:tc>
        <w:tc>
          <w:tcPr>
            <w:tcW w:type="dxa" w:w="6500"/>
            <w:vAlign w:val="center"/>
          </w:tcPr>
          <w:p>
            <w:r>
              <w:rPr>
                <w:rFonts w:ascii="Calibri" w:cs="Calibri" w:eastAsia="Calibri" w:hAnsi="Calibri"/>
                <w:b w:val="false"/>
                <w:bCs w:val="false"/>
                <w:color w:val="374151"/>
                <w:sz w:val="20"/>
                <w:szCs w:val="20"/>
              </w:rPr>
              <w:t xml:space="preserve">frontend/src/store/useAppStore.ts — no other component touches auth</w:t>
            </w:r>
          </w:p>
        </w:tc>
      </w:tr>
      <w:tr>
        <w:trPr>
          <w:tblHeader w:val="false"/>
        </w:trPr>
        <w:tc>
          <w:tcPr>
            <w:tcW w:type="dxa" w:w="3000"/>
            <w:vAlign w:val="center"/>
          </w:tcPr>
          <w:p>
            <w:r>
              <w:rPr>
                <w:rFonts w:ascii="Calibri" w:cs="Calibri" w:eastAsia="Calibri" w:hAnsi="Calibri"/>
                <w:b w:val="false"/>
                <w:bCs w:val="false"/>
                <w:color w:val="111111"/>
                <w:sz w:val="20"/>
                <w:szCs w:val="20"/>
              </w:rPr>
              <w:t xml:space="preserve">Tenant capabilities</w:t>
            </w:r>
          </w:p>
        </w:tc>
        <w:tc>
          <w:tcPr>
            <w:tcW w:type="dxa" w:w="6500"/>
            <w:vAlign w:val="center"/>
          </w:tcPr>
          <w:p>
            <w:r>
              <w:rPr>
                <w:rFonts w:ascii="Calibri" w:cs="Calibri" w:eastAsia="Calibri" w:hAnsi="Calibri"/>
                <w:b w:val="false"/>
                <w:bCs w:val="false"/>
                <w:color w:val="374151"/>
                <w:sz w:val="20"/>
                <w:szCs w:val="20"/>
              </w:rPr>
              <w:t xml:space="preserve">GET /api/config/tenant response — frontend reads this, never hardcodes capability checks</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5.2 RFQ Duplicate — What Happened and the Fix</w:t>
      </w:r>
    </w:p>
    <w:p>
      <w:pPr>
        <w:shd w:color="FEF3C7" w:val="solid"/>
        <w:spacing w:after="120" w:before="120"/>
      </w:pPr>
      <w:r>
        <w:rPr>
          <w:rFonts w:ascii="Calibri" w:cs="Calibri" w:eastAsia="Calibri" w:hAnsi="Calibri"/>
          <w:b/>
          <w:bCs/>
          <w:color w:val="1A1A2E"/>
          <w:sz w:val="21"/>
          <w:szCs w:val="21"/>
        </w:rPr>
        <w:t xml:space="preserve">⚠️  KNOWN ISSUE  </w:t>
      </w:r>
      <w:r>
        <w:rPr>
          <w:rFonts w:ascii="Calibri" w:cs="Calibri" w:eastAsia="Calibri" w:hAnsi="Calibri"/>
          <w:color w:val="1A1A2E"/>
          <w:sz w:val="21"/>
          <w:szCs w:val="21"/>
        </w:rPr>
        <w:t xml:space="preserve">RFQ functionality exists in TWO places: as a tab inside MaterialHub AND as a standalone RFQManagement sidebar page. This must be resolved.</w:t>
      </w:r>
    </w:p>
    <w:p>
      <w:pPr>
        <w:spacing w:after="80" w:before="80"/>
      </w:pPr>
      <w:r>
        <w:rPr>
          <w:rFonts w:ascii="Calibri" w:cs="Calibri" w:eastAsia="Calibri" w:hAnsi="Calibri"/>
          <w:b w:val="false"/>
          <w:bCs w:val="false"/>
          <w:i w:val="false"/>
          <w:iCs w:val="false"/>
          <w:color w:val="374151"/>
          <w:sz w:val="22"/>
          <w:szCs w:val="22"/>
        </w:rPr>
        <w:t xml:space="preserve">Root cause: RFQ was built correctly as a tab inside MaterialHub. Later, a separate RFQManagement page was built without auditing what already existed.</w:t>
      </w:r>
    </w:p>
    <w:p>
      <w:pPr>
        <w:spacing w:after="80" w:before="80"/>
      </w:pPr>
      <w:r>
        <w:rPr>
          <w:rFonts w:ascii="Calibri" w:cs="Calibri" w:eastAsia="Calibri" w:hAnsi="Calibri"/>
          <w:b w:val="false"/>
          <w:bCs w:val="false"/>
          <w:i w:val="false"/>
          <w:iCs w:val="false"/>
          <w:color w:val="374151"/>
          <w:sz w:val="22"/>
          <w:szCs w:val="22"/>
        </w:rPr>
        <w:t xml:space="preserve">Fix required:</w:t>
      </w:r>
    </w:p>
    <w:p>
      <w:pPr>
        <w:pStyle w:val="ListParagraph"/>
        <w:numPr>
          <w:ilvl w:val="0"/>
          <w:numId w:val="1"/>
        </w:numPr>
        <w:spacing w:after="60" w:before="60"/>
      </w:pPr>
      <w:r>
        <w:rPr>
          <w:rFonts w:ascii="Calibri" w:cs="Calibri" w:eastAsia="Calibri" w:hAnsi="Calibri"/>
          <w:color w:val="374151"/>
          <w:sz w:val="21"/>
          <w:szCs w:val="21"/>
        </w:rPr>
        <w:t xml:space="preserve">Remove: frontend/src/pages/MFG/RFQManagement.tsx — delete this file</w:t>
      </w:r>
    </w:p>
    <w:p>
      <w:pPr>
        <w:pStyle w:val="ListParagraph"/>
        <w:numPr>
          <w:ilvl w:val="0"/>
          <w:numId w:val="1"/>
        </w:numPr>
        <w:spacing w:after="60" w:before="60"/>
      </w:pPr>
      <w:r>
        <w:rPr>
          <w:rFonts w:ascii="Calibri" w:cs="Calibri" w:eastAsia="Calibri" w:hAnsi="Calibri"/>
          <w:color w:val="374151"/>
          <w:sz w:val="21"/>
          <w:szCs w:val="21"/>
        </w:rPr>
        <w:t xml:space="preserve">Remove: the RFQ Cycle sidebar entry that points to RFQManagement</w:t>
      </w:r>
    </w:p>
    <w:p>
      <w:pPr>
        <w:pStyle w:val="ListParagraph"/>
        <w:numPr>
          <w:ilvl w:val="0"/>
          <w:numId w:val="1"/>
        </w:numPr>
        <w:spacing w:after="60" w:before="60"/>
      </w:pPr>
      <w:r>
        <w:rPr>
          <w:rFonts w:ascii="Calibri" w:cs="Calibri" w:eastAsia="Calibri" w:hAnsi="Calibri"/>
          <w:color w:val="374151"/>
          <w:sz w:val="21"/>
          <w:szCs w:val="21"/>
        </w:rPr>
        <w:t xml:space="preserve">Keep: the RFQ tab inside MaterialHub — this is the correct location</w:t>
      </w:r>
    </w:p>
    <w:p>
      <w:pPr>
        <w:pStyle w:val="ListParagraph"/>
        <w:numPr>
          <w:ilvl w:val="0"/>
          <w:numId w:val="1"/>
        </w:numPr>
        <w:spacing w:after="60" w:before="60"/>
      </w:pPr>
      <w:r>
        <w:rPr>
          <w:rFonts w:ascii="Calibri" w:cs="Calibri" w:eastAsia="Calibri" w:hAnsi="Calibri"/>
          <w:color w:val="374151"/>
          <w:sz w:val="21"/>
          <w:szCs w:val="21"/>
        </w:rPr>
        <w:t xml:space="preserve">Keep: the backend /api/rfq/* routes — they are correct and shared</w:t>
      </w:r>
    </w:p>
    <w:p>
      <w:pPr>
        <w:spacing w:after="80" w:before="80"/>
      </w:pPr>
      <w:r>
        <w:rPr>
          <w:rFonts w:ascii="Calibri" w:cs="Calibri" w:eastAsia="Calibri" w:hAnsi="Calibri"/>
          <w:b w:val="false"/>
          <w:bCs w:val="false"/>
          <w:i w:val="false"/>
          <w:iCs w:val="false"/>
          <w:color w:val="374151"/>
          <w:sz w:val="22"/>
          <w:szCs w:val="22"/>
        </w:rPr>
        <w:t xml:space="preserve">After fix: RFQ is accessible only from MaterialHub → RFQ Cycle tab. One entry point. One component. One truth.</w:t>
      </w:r>
    </w:p>
    <w:p>
      <w:pPr>
        <w:pStyle w:val="Heading2"/>
        <w:pBdr>
          <w:bottom w:val="single" w:color="F59E0B" w:sz="4"/>
        </w:pBdr>
        <w:spacing w:after="120" w:before="360"/>
      </w:pPr>
      <w:r>
        <w:rPr>
          <w:rFonts w:ascii="Calibri" w:cs="Calibri" w:eastAsia="Calibri" w:hAnsi="Calibri"/>
          <w:b/>
          <w:bCs/>
          <w:color w:val="1A1A2E"/>
          <w:sz w:val="36"/>
          <w:szCs w:val="36"/>
        </w:rPr>
        <w:t xml:space="preserve">5.3 Duplication Scan Checklist</w:t>
      </w:r>
    </w:p>
    <w:p>
      <w:pPr>
        <w:spacing w:after="80" w:before="80"/>
      </w:pPr>
      <w:r>
        <w:rPr>
          <w:rFonts w:ascii="Calibri" w:cs="Calibri" w:eastAsia="Calibri" w:hAnsi="Calibri"/>
          <w:b w:val="false"/>
          <w:bCs w:val="false"/>
          <w:i w:val="false"/>
          <w:iCs w:val="false"/>
          <w:color w:val="374151"/>
          <w:sz w:val="22"/>
          <w:szCs w:val="22"/>
        </w:rPr>
        <w:t xml:space="preserve">Run these checks before every new feature session:</w:t>
      </w:r>
    </w:p>
    <w:p>
      <w:pPr>
        <w:shd w:color="1E293B" w:val="solid"/>
        <w:spacing w:after="80" w:before="80"/>
      </w:pPr>
      <w:r>
        <w:rPr>
          <w:rFonts w:ascii="Courier New" w:cs="Courier New" w:eastAsia="Courier New" w:hAnsi="Courier New"/>
          <w:color w:val="E2E8F0"/>
          <w:sz w:val="19"/>
          <w:szCs w:val="19"/>
        </w:rPr>
        <w:t xml:space="preserve"># Check for duplicate page files</w:t>
      </w:r>
    </w:p>
    <w:p>
      <w:pPr>
        <w:shd w:color="1E293B" w:val="solid"/>
        <w:spacing w:after="80" w:before="80"/>
      </w:pPr>
      <w:r>
        <w:rPr>
          <w:rFonts w:ascii="Courier New" w:cs="Courier New" w:eastAsia="Courier New" w:hAnsi="Courier New"/>
          <w:color w:val="E2E8F0"/>
          <w:sz w:val="19"/>
          <w:szCs w:val="19"/>
        </w:rPr>
        <w:t xml:space="preserve">find frontend/src/pages -name '*.tsx' | sort</w:t>
      </w:r>
    </w:p>
    <w:p>
      <w:pPr>
        <w:shd w:color="1E293B" w:val="solid"/>
        <w:spacing w:after="80" w:before="80"/>
      </w:pPr>
      <w:r>
        <w:rPr>
          <w:rFonts w:ascii="Courier New" w:cs="Courier New" w:eastAsia="Courier New" w:hAnsi="Courier New"/>
          <w:color w:val="E2E8F0"/>
          <w:sz w:val="19"/>
          <w:szCs w:val="19"/>
        </w:rPr>
        <w:t xml:space="preserve"># Check for duplicate route registrations</w:t>
      </w:r>
    </w:p>
    <w:p>
      <w:pPr>
        <w:shd w:color="1E293B" w:val="solid"/>
        <w:spacing w:after="80" w:before="80"/>
      </w:pPr>
      <w:r>
        <w:rPr>
          <w:rFonts w:ascii="Courier New" w:cs="Courier New" w:eastAsia="Courier New" w:hAnsi="Courier New"/>
          <w:color w:val="E2E8F0"/>
          <w:sz w:val="19"/>
          <w:szCs w:val="19"/>
        </w:rPr>
        <w:t xml:space="preserve">grep -n 'router\|api\|GET\|POST\|PUT\|DELETE' backend/internal/api/router.go | sort</w:t>
      </w:r>
    </w:p>
    <w:p>
      <w:pPr>
        <w:shd w:color="1E293B" w:val="solid"/>
        <w:spacing w:after="80" w:before="80"/>
      </w:pPr>
      <w:r>
        <w:rPr>
          <w:rFonts w:ascii="Courier New" w:cs="Courier New" w:eastAsia="Courier New" w:hAnsi="Courier New"/>
          <w:color w:val="E2E8F0"/>
          <w:sz w:val="19"/>
          <w:szCs w:val="19"/>
        </w:rPr>
        <w:t xml:space="preserve"># Check for duplicate CSS class definitions</w:t>
      </w:r>
    </w:p>
    <w:p>
      <w:pPr>
        <w:shd w:color="1E293B" w:val="solid"/>
        <w:spacing w:after="80" w:before="80"/>
      </w:pPr>
      <w:r>
        <w:rPr>
          <w:rFonts w:ascii="Courier New" w:cs="Courier New" w:eastAsia="Courier New" w:hAnsi="Courier New"/>
          <w:color w:val="E2E8F0"/>
          <w:sz w:val="19"/>
          <w:szCs w:val="19"/>
        </w:rPr>
        <w:t xml:space="preserve">grep -n '\.sx-\|class=' frontend/src/design-system.css | sort</w:t>
      </w:r>
    </w:p>
    <w:p>
      <w:r>
        <w:br w:type="page"/>
      </w:r>
    </w:p>
    <w:p>
      <w:pPr>
        <w:pStyle w:val="Heading1"/>
        <w:spacing w:after="160" w:before="480"/>
      </w:pPr>
      <w:r>
        <w:rPr>
          <w:rFonts w:ascii="Calibri" w:cs="Calibri" w:eastAsia="Calibri" w:hAnsi="Calibri"/>
          <w:b/>
          <w:bCs/>
          <w:color w:val="1A1A2E"/>
          <w:sz w:val="52"/>
          <w:szCs w:val="52"/>
        </w:rPr>
        <w:t xml:space="preserve">6. AI Agent Instructions (Claude + Antigravity)</w:t>
      </w:r>
    </w:p>
    <w:p>
      <w:pPr>
        <w:pStyle w:val="Heading2"/>
        <w:pBdr>
          <w:bottom w:val="single" w:color="F59E0B" w:sz="4"/>
        </w:pBdr>
        <w:spacing w:after="120" w:before="360"/>
      </w:pPr>
      <w:r>
        <w:rPr>
          <w:rFonts w:ascii="Calibri" w:cs="Calibri" w:eastAsia="Calibri" w:hAnsi="Calibri"/>
          <w:b/>
          <w:bCs/>
          <w:color w:val="1A1A2E"/>
          <w:sz w:val="36"/>
          <w:szCs w:val="36"/>
        </w:rPr>
        <w:t xml:space="preserve">6.1 Context Loading Protocol</w:t>
      </w:r>
    </w:p>
    <w:p>
      <w:pPr>
        <w:spacing w:after="80" w:before="80"/>
      </w:pPr>
      <w:r>
        <w:rPr>
          <w:rFonts w:ascii="Calibri" w:cs="Calibri" w:eastAsia="Calibri" w:hAnsi="Calibri"/>
          <w:b w:val="false"/>
          <w:bCs w:val="false"/>
          <w:i w:val="false"/>
          <w:iCs w:val="false"/>
          <w:color w:val="374151"/>
          <w:sz w:val="22"/>
          <w:szCs w:val="22"/>
        </w:rPr>
        <w:t xml:space="preserve">Every Antigravity session must begin with these three MCP calls in this order:</w:t>
      </w:r>
    </w:p>
    <w:p>
      <w:pPr>
        <w:shd w:color="1E293B" w:val="solid"/>
        <w:spacing w:after="80" w:before="80"/>
      </w:pPr>
      <w:r>
        <w:rPr>
          <w:rFonts w:ascii="Courier New" w:cs="Courier New" w:eastAsia="Courier New" w:hAnsi="Courier New"/>
          <w:color w:val="E2E8F0"/>
          <w:sz w:val="19"/>
          <w:szCs w:val="19"/>
        </w:rPr>
        <w:t xml:space="preserve">Call MCP: get_session_context     ← blockers, current state, what NOT to touch</w:t>
      </w:r>
    </w:p>
    <w:p>
      <w:pPr>
        <w:shd w:color="1E293B" w:val="solid"/>
        <w:spacing w:after="80" w:before="80"/>
      </w:pPr>
      <w:r>
        <w:rPr>
          <w:rFonts w:ascii="Courier New" w:cs="Courier New" w:eastAsia="Courier New" w:hAnsi="Courier New"/>
          <w:color w:val="E2E8F0"/>
          <w:sz w:val="19"/>
          <w:szCs w:val="19"/>
        </w:rPr>
        <w:t xml:space="preserve">Call MCP: get_current_status      ← which modules are verified, which are stubs</w:t>
      </w:r>
    </w:p>
    <w:p>
      <w:pPr>
        <w:shd w:color="1E293B" w:val="solid"/>
        <w:spacing w:after="80" w:before="80"/>
      </w:pPr>
      <w:r>
        <w:rPr>
          <w:rFonts w:ascii="Courier New" w:cs="Courier New" w:eastAsia="Courier New" w:hAnsi="Courier New"/>
          <w:color w:val="E2E8F0"/>
          <w:sz w:val="19"/>
          <w:szCs w:val="19"/>
        </w:rPr>
        <w:t xml:space="preserve">Call MCP: get_build_sequence      ← what to build next and why</w:t>
      </w:r>
    </w:p>
    <w:p>
      <w:pPr>
        <w:spacing w:after="80" w:before="80"/>
      </w:pPr>
      <w:r>
        <w:rPr>
          <w:rFonts w:ascii="Calibri" w:cs="Calibri" w:eastAsia="Calibri" w:hAnsi="Calibri"/>
          <w:b w:val="false"/>
          <w:bCs w:val="false"/>
          <w:i w:val="false"/>
          <w:iCs w:val="false"/>
          <w:color w:val="374151"/>
          <w:sz w:val="22"/>
          <w:szCs w:val="22"/>
        </w:rPr>
        <w:t xml:space="preserve">If the MCP server is not responding, DO NOT proceed. Fix the MCP first.</w:t>
      </w:r>
    </w:p>
    <w:p>
      <w:pPr>
        <w:pStyle w:val="Heading2"/>
        <w:pBdr>
          <w:bottom w:val="single" w:color="F59E0B" w:sz="4"/>
        </w:pBdr>
        <w:spacing w:after="120" w:before="360"/>
      </w:pPr>
      <w:r>
        <w:rPr>
          <w:rFonts w:ascii="Calibri" w:cs="Calibri" w:eastAsia="Calibri" w:hAnsi="Calibri"/>
          <w:b/>
          <w:bCs/>
          <w:color w:val="1A1A2E"/>
          <w:sz w:val="36"/>
          <w:szCs w:val="36"/>
        </w:rPr>
        <w:t xml:space="preserve">6.2 The Five Rules Every AI Agent Must Follow</w:t>
      </w:r>
    </w:p>
    <w:p>
      <w:pPr>
        <w:shd w:color="EFF6FF" w:val="solid"/>
        <w:spacing w:after="120" w:before="120"/>
      </w:pPr>
      <w:r>
        <w:rPr>
          <w:rFonts w:ascii="Calibri" w:cs="Calibri" w:eastAsia="Calibri" w:hAnsi="Calibri"/>
          <w:b/>
          <w:bCs/>
          <w:color w:val="1A1A2E"/>
          <w:sz w:val="21"/>
          <w:szCs w:val="21"/>
        </w:rPr>
        <w:t xml:space="preserve">RULE 1  </w:t>
      </w:r>
      <w:r>
        <w:rPr>
          <w:rFonts w:ascii="Calibri" w:cs="Calibri" w:eastAsia="Calibri" w:hAnsi="Calibri"/>
          <w:color w:val="1A1A2E"/>
          <w:sz w:val="21"/>
          <w:szCs w:val="21"/>
        </w:rPr>
        <w:t xml:space="preserve">Read every file you will edit before writing a single character. No assumptions.</w:t>
      </w:r>
    </w:p>
    <w:p>
      <w:pPr>
        <w:shd w:color="EFF6FF" w:val="solid"/>
        <w:spacing w:after="120" w:before="120"/>
      </w:pPr>
      <w:r>
        <w:rPr>
          <w:rFonts w:ascii="Calibri" w:cs="Calibri" w:eastAsia="Calibri" w:hAnsi="Calibri"/>
          <w:b/>
          <w:bCs/>
          <w:color w:val="1A1A2E"/>
          <w:sz w:val="21"/>
          <w:szCs w:val="21"/>
        </w:rPr>
        <w:t xml:space="preserve">RULE 2  </w:t>
      </w:r>
      <w:r>
        <w:rPr>
          <w:rFonts w:ascii="Calibri" w:cs="Calibri" w:eastAsia="Calibri" w:hAnsi="Calibri"/>
          <w:color w:val="1A1A2E"/>
          <w:sz w:val="21"/>
          <w:szCs w:val="21"/>
        </w:rPr>
        <w:t xml:space="preserve">Run the compile gate after every Go file change. Zero output required.</w:t>
      </w:r>
    </w:p>
    <w:p>
      <w:pPr>
        <w:shd w:color="EFF6FF" w:val="solid"/>
        <w:spacing w:after="120" w:before="120"/>
      </w:pPr>
      <w:r>
        <w:rPr>
          <w:rFonts w:ascii="Calibri" w:cs="Calibri" w:eastAsia="Calibri" w:hAnsi="Calibri"/>
          <w:b/>
          <w:bCs/>
          <w:color w:val="1A1A2E"/>
          <w:sz w:val="21"/>
          <w:szCs w:val="21"/>
        </w:rPr>
        <w:t xml:space="preserve">RULE 3  </w:t>
      </w:r>
      <w:r>
        <w:rPr>
          <w:rFonts w:ascii="Calibri" w:cs="Calibri" w:eastAsia="Calibri" w:hAnsi="Calibri"/>
          <w:color w:val="1A1A2E"/>
          <w:sz w:val="21"/>
          <w:szCs w:val="21"/>
        </w:rPr>
        <w:t xml:space="preserve">curl-verify every endpoint before marking it done. No feature is done until 200 confirmed.</w:t>
      </w:r>
    </w:p>
    <w:p>
      <w:pPr>
        <w:shd w:color="EFF6FF" w:val="solid"/>
        <w:spacing w:after="120" w:before="120"/>
      </w:pPr>
      <w:r>
        <w:rPr>
          <w:rFonts w:ascii="Calibri" w:cs="Calibri" w:eastAsia="Calibri" w:hAnsi="Calibri"/>
          <w:b/>
          <w:bCs/>
          <w:color w:val="1A1A2E"/>
          <w:sz w:val="21"/>
          <w:szCs w:val="21"/>
        </w:rPr>
        <w:t xml:space="preserve">RULE 4  </w:t>
      </w:r>
      <w:r>
        <w:rPr>
          <w:rFonts w:ascii="Calibri" w:cs="Calibri" w:eastAsia="Calibri" w:hAnsi="Calibri"/>
          <w:color w:val="1A1A2E"/>
          <w:sz w:val="21"/>
          <w:szCs w:val="21"/>
        </w:rPr>
        <w:t xml:space="preserve">Grep before building. If similar functionality exists, extend it — never duplicate.</w:t>
      </w:r>
    </w:p>
    <w:p>
      <w:pPr>
        <w:shd w:color="EFF6FF" w:val="solid"/>
        <w:spacing w:after="120" w:before="120"/>
      </w:pPr>
      <w:r>
        <w:rPr>
          <w:rFonts w:ascii="Calibri" w:cs="Calibri" w:eastAsia="Calibri" w:hAnsi="Calibri"/>
          <w:b/>
          <w:bCs/>
          <w:color w:val="1A1A2E"/>
          <w:sz w:val="21"/>
          <w:szCs w:val="21"/>
        </w:rPr>
        <w:t xml:space="preserve">RULE 5  </w:t>
      </w:r>
      <w:r>
        <w:rPr>
          <w:rFonts w:ascii="Calibri" w:cs="Calibri" w:eastAsia="Calibri" w:hAnsi="Calibri"/>
          <w:color w:val="1A1A2E"/>
          <w:sz w:val="21"/>
          <w:szCs w:val="21"/>
        </w:rPr>
        <w:t xml:space="preserve">git commit after every step. Never leave working state uncommitted.</w:t>
      </w:r>
    </w:p>
    <w:p>
      <w:pPr>
        <w:pStyle w:val="Heading2"/>
        <w:pBdr>
          <w:bottom w:val="single" w:color="F59E0B" w:sz="4"/>
        </w:pBdr>
        <w:spacing w:after="120" w:before="360"/>
      </w:pPr>
      <w:r>
        <w:rPr>
          <w:rFonts w:ascii="Calibri" w:cs="Calibri" w:eastAsia="Calibri" w:hAnsi="Calibri"/>
          <w:b/>
          <w:bCs/>
          <w:color w:val="1A1A2E"/>
          <w:sz w:val="36"/>
          <w:szCs w:val="36"/>
        </w:rPr>
        <w:t xml:space="preserve">6.3 What Claude Does vs What Antigravity Does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Claude (this conversation)</w:t>
            </w:r>
          </w:p>
        </w:tc>
        <w:tc>
          <w:tcPr>
            <w:tcW w:type="dxa" w:w="6500"/>
            <w:shd w:color="1A1A2E" w:val="solid"/>
            <w:vAlign w:val="center"/>
          </w:tcPr>
          <w:p>
            <w:r>
              <w:rPr>
                <w:rFonts w:ascii="Calibri" w:cs="Calibri" w:eastAsia="Calibri" w:hAnsi="Calibri"/>
                <w:b/>
                <w:bCs/>
                <w:color w:val="FFFFFF"/>
                <w:sz w:val="20"/>
                <w:szCs w:val="20"/>
              </w:rPr>
              <w:t xml:space="preserve">Antigravity (terminal agent)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Architecture decisions</w:t>
            </w:r>
          </w:p>
        </w:tc>
        <w:tc>
          <w:tcPr>
            <w:tcW w:type="dxa" w:w="6500"/>
            <w:vAlign w:val="center"/>
          </w:tcPr>
          <w:p>
            <w:r>
              <w:rPr>
                <w:rFonts w:ascii="Calibri" w:cs="Calibri" w:eastAsia="Calibri" w:hAnsi="Calibri"/>
                <w:b w:val="false"/>
                <w:bCs w:val="false"/>
                <w:color w:val="374151"/>
                <w:sz w:val="20"/>
                <w:szCs w:val="20"/>
              </w:rPr>
              <w:t xml:space="preserve">Code execution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Prompt writing — precise, scoped</w:t>
            </w:r>
          </w:p>
        </w:tc>
        <w:tc>
          <w:tcPr>
            <w:tcW w:type="dxa" w:w="6500"/>
            <w:vAlign w:val="center"/>
          </w:tcPr>
          <w:p>
            <w:r>
              <w:rPr>
                <w:rFonts w:ascii="Calibri" w:cs="Calibri" w:eastAsia="Calibri" w:hAnsi="Calibri"/>
                <w:b w:val="false"/>
                <w:bCs w:val="false"/>
                <w:color w:val="374151"/>
                <w:sz w:val="20"/>
                <w:szCs w:val="20"/>
              </w:rPr>
              <w:t xml:space="preserve">Following the prompt exactly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Context preservation across sessions</w:t>
            </w:r>
          </w:p>
        </w:tc>
        <w:tc>
          <w:tcPr>
            <w:tcW w:type="dxa" w:w="6500"/>
            <w:vAlign w:val="center"/>
          </w:tcPr>
          <w:p>
            <w:r>
              <w:rPr>
                <w:rFonts w:ascii="Calibri" w:cs="Calibri" w:eastAsia="Calibri" w:hAnsi="Calibri"/>
                <w:b w:val="false"/>
                <w:bCs w:val="false"/>
                <w:color w:val="374151"/>
                <w:sz w:val="20"/>
                <w:szCs w:val="20"/>
              </w:rPr>
              <w:t xml:space="preserve">Session memory via MCP only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Catching contradictions and duplicates</w:t>
            </w:r>
          </w:p>
        </w:tc>
        <w:tc>
          <w:tcPr>
            <w:tcW w:type="dxa" w:w="6500"/>
            <w:vAlign w:val="center"/>
          </w:tcPr>
          <w:p>
            <w:r>
              <w:rPr>
                <w:rFonts w:ascii="Calibri" w:cs="Calibri" w:eastAsia="Calibri" w:hAnsi="Calibri"/>
                <w:b w:val="false"/>
                <w:bCs w:val="false"/>
                <w:color w:val="374151"/>
                <w:sz w:val="20"/>
                <w:szCs w:val="20"/>
              </w:rPr>
              <w:t xml:space="preserve">Running grep and audit commands when prompted</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Security review</w:t>
            </w:r>
          </w:p>
        </w:tc>
        <w:tc>
          <w:tcPr>
            <w:tcW w:type="dxa" w:w="6500"/>
            <w:vAlign w:val="center"/>
          </w:tcPr>
          <w:p>
            <w:r>
              <w:rPr>
                <w:rFonts w:ascii="Calibri" w:cs="Calibri" w:eastAsia="Calibri" w:hAnsi="Calibri"/>
                <w:b w:val="false"/>
                <w:bCs w:val="false"/>
                <w:color w:val="374151"/>
                <w:sz w:val="20"/>
                <w:szCs w:val="20"/>
              </w:rPr>
              <w:t xml:space="preserve">Compile gate enforcement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Document production</w:t>
            </w:r>
          </w:p>
        </w:tc>
        <w:tc>
          <w:tcPr>
            <w:tcW w:type="dxa" w:w="6500"/>
            <w:vAlign w:val="center"/>
          </w:tcPr>
          <w:p>
            <w:r>
              <w:rPr>
                <w:rFonts w:ascii="Calibri" w:cs="Calibri" w:eastAsia="Calibri" w:hAnsi="Calibri"/>
                <w:b w:val="false"/>
                <w:bCs w:val="false"/>
                <w:color w:val="374151"/>
                <w:sz w:val="20"/>
                <w:szCs w:val="20"/>
              </w:rPr>
              <w:t xml:space="preserve">File creation and editing</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6.4 Claude Code vs Antigravity — Which to Use When</w:t>
      </w:r>
    </w:p>
    <w:p>
      <w:pPr>
        <w:spacing w:after="80" w:before="80"/>
      </w:pPr>
      <w:r>
        <w:rPr>
          <w:rFonts w:ascii="Calibri" w:cs="Calibri" w:eastAsia="Calibri" w:hAnsi="Calibri"/>
          <w:b w:val="false"/>
          <w:bCs w:val="false"/>
          <w:i w:val="false"/>
          <w:iCs w:val="false"/>
          <w:color w:val="374151"/>
          <w:sz w:val="22"/>
          <w:szCs w:val="22"/>
        </w:rPr>
        <w:t xml:space="preserve">You have both available. Here is when to use each:</w:t>
      </w:r>
    </w:p>
    <w:p>
      <w:pPr>
        <w:pStyle w:val="Heading3"/>
        <w:spacing w:after="80" w:before="240"/>
      </w:pPr>
      <w:r>
        <w:rPr>
          <w:rFonts w:ascii="Calibri" w:cs="Calibri" w:eastAsia="Calibri" w:hAnsi="Calibri"/>
          <w:b/>
          <w:bCs/>
          <w:color w:val="374151"/>
          <w:sz w:val="28"/>
          <w:szCs w:val="28"/>
        </w:rPr>
        <w:t xml:space="preserve">Use Claude Code (terminal) for:</w:t>
      </w:r>
    </w:p>
    <w:p>
      <w:pPr>
        <w:pStyle w:val="ListParagraph"/>
        <w:numPr>
          <w:ilvl w:val="0"/>
          <w:numId w:val="1"/>
        </w:numPr>
        <w:spacing w:after="60" w:before="60"/>
      </w:pPr>
      <w:r>
        <w:rPr>
          <w:rFonts w:ascii="Calibri" w:cs="Calibri" w:eastAsia="Calibri" w:hAnsi="Calibri"/>
          <w:color w:val="374151"/>
          <w:sz w:val="21"/>
          <w:szCs w:val="21"/>
        </w:rPr>
        <w:t xml:space="preserve">Ongoing development where you want real-time conversation while code is being written</w:t>
      </w:r>
    </w:p>
    <w:p>
      <w:pPr>
        <w:pStyle w:val="ListParagraph"/>
        <w:numPr>
          <w:ilvl w:val="0"/>
          <w:numId w:val="1"/>
        </w:numPr>
        <w:spacing w:after="60" w:before="60"/>
      </w:pPr>
      <w:r>
        <w:rPr>
          <w:rFonts w:ascii="Calibri" w:cs="Calibri" w:eastAsia="Calibri" w:hAnsi="Calibri"/>
          <w:color w:val="374151"/>
          <w:sz w:val="21"/>
          <w:szCs w:val="21"/>
        </w:rPr>
        <w:t xml:space="preserve">Complex debugging where back-and-forth is needed</w:t>
      </w:r>
    </w:p>
    <w:p>
      <w:pPr>
        <w:pStyle w:val="ListParagraph"/>
        <w:numPr>
          <w:ilvl w:val="0"/>
          <w:numId w:val="1"/>
        </w:numPr>
        <w:spacing w:after="60" w:before="60"/>
      </w:pPr>
      <w:r>
        <w:rPr>
          <w:rFonts w:ascii="Calibri" w:cs="Calibri" w:eastAsia="Calibri" w:hAnsi="Calibri"/>
          <w:color w:val="374151"/>
          <w:sz w:val="21"/>
          <w:szCs w:val="21"/>
        </w:rPr>
        <w:t xml:space="preserve">When you want to ask 'why' and get architectural explanation alongside the code</w:t>
      </w:r>
    </w:p>
    <w:p>
      <w:pPr>
        <w:pStyle w:val="ListParagraph"/>
        <w:numPr>
          <w:ilvl w:val="0"/>
          <w:numId w:val="1"/>
        </w:numPr>
        <w:spacing w:after="60" w:before="60"/>
      </w:pPr>
      <w:r>
        <w:rPr>
          <w:rFonts w:ascii="Calibri" w:cs="Calibri" w:eastAsia="Calibri" w:hAnsi="Calibri"/>
          <w:color w:val="374151"/>
          <w:sz w:val="21"/>
          <w:szCs w:val="21"/>
        </w:rPr>
        <w:t xml:space="preserve">Security reviews — Claude Code can read files and reason about them together</w:t>
      </w:r>
    </w:p>
    <w:p>
      <w:pPr>
        <w:pStyle w:val="ListParagraph"/>
        <w:numPr>
          <w:ilvl w:val="0"/>
          <w:numId w:val="1"/>
        </w:numPr>
        <w:spacing w:after="60" w:before="60"/>
      </w:pPr>
      <w:r>
        <w:rPr>
          <w:rFonts w:ascii="Calibri" w:cs="Calibri" w:eastAsia="Calibri" w:hAnsi="Calibri"/>
          <w:color w:val="374151"/>
          <w:sz w:val="21"/>
          <w:szCs w:val="21"/>
        </w:rPr>
        <w:t xml:space="preserve">When you want the AI to pause and ask clarifying questions before writing</w:t>
      </w:r>
    </w:p>
    <w:p>
      <w:pPr>
        <w:pStyle w:val="Heading3"/>
        <w:spacing w:after="80" w:before="240"/>
      </w:pPr>
      <w:r>
        <w:rPr>
          <w:rFonts w:ascii="Calibri" w:cs="Calibri" w:eastAsia="Calibri" w:hAnsi="Calibri"/>
          <w:b/>
          <w:bCs/>
          <w:color w:val="374151"/>
          <w:sz w:val="28"/>
          <w:szCs w:val="28"/>
        </w:rPr>
        <w:t xml:space="preserve">Use Antigravity for:</w:t>
      </w:r>
    </w:p>
    <w:p>
      <w:pPr>
        <w:pStyle w:val="ListParagraph"/>
        <w:numPr>
          <w:ilvl w:val="0"/>
          <w:numId w:val="1"/>
        </w:numPr>
        <w:spacing w:after="60" w:before="60"/>
      </w:pPr>
      <w:r>
        <w:rPr>
          <w:rFonts w:ascii="Calibri" w:cs="Calibri" w:eastAsia="Calibri" w:hAnsi="Calibri"/>
          <w:color w:val="374151"/>
          <w:sz w:val="21"/>
          <w:szCs w:val="21"/>
        </w:rPr>
        <w:t xml:space="preserve">Long autonomous sessions where you want the agent to execute a full prompt without interruption</w:t>
      </w:r>
    </w:p>
    <w:p>
      <w:pPr>
        <w:pStyle w:val="ListParagraph"/>
        <w:numPr>
          <w:ilvl w:val="0"/>
          <w:numId w:val="1"/>
        </w:numPr>
        <w:spacing w:after="60" w:before="60"/>
      </w:pPr>
      <w:r>
        <w:rPr>
          <w:rFonts w:ascii="Calibri" w:cs="Calibri" w:eastAsia="Calibri" w:hAnsi="Calibri"/>
          <w:color w:val="374151"/>
          <w:sz w:val="21"/>
          <w:szCs w:val="21"/>
        </w:rPr>
        <w:t xml:space="preserve">Bulk operations — applying design system to 20 files, running migrations, etc.</w:t>
      </w:r>
    </w:p>
    <w:p>
      <w:pPr>
        <w:pStyle w:val="ListParagraph"/>
        <w:numPr>
          <w:ilvl w:val="0"/>
          <w:numId w:val="1"/>
        </w:numPr>
        <w:spacing w:after="60" w:before="60"/>
      </w:pPr>
      <w:r>
        <w:rPr>
          <w:rFonts w:ascii="Calibri" w:cs="Calibri" w:eastAsia="Calibri" w:hAnsi="Calibri"/>
          <w:color w:val="374151"/>
          <w:sz w:val="21"/>
          <w:szCs w:val="21"/>
        </w:rPr>
        <w:t xml:space="preserve">When you have a precise, fully-specified prompt and just need execution</w:t>
      </w:r>
    </w:p>
    <w:p>
      <w:pPr>
        <w:spacing w:after="80" w:before="80"/>
      </w:pPr>
      <w:r>
        <w:rPr>
          <w:rFonts w:ascii="Calibri" w:cs="Calibri" w:eastAsia="Calibri" w:hAnsi="Calibri"/>
          <w:b w:val="false"/>
          <w:bCs w:val="false"/>
          <w:i w:val="false"/>
          <w:iCs w:val="false"/>
          <w:color w:val="374151"/>
          <w:sz w:val="22"/>
          <w:szCs w:val="22"/>
        </w:rPr>
        <w:t xml:space="preserve">Best practice: Use Claude (this conversation) to write the prompt. Use Antigravity or Claude Code to execute it. Never let either agent invent scope.</w:t>
      </w:r>
    </w:p>
    <w:p>
      <w:pPr>
        <w:pStyle w:val="Heading2"/>
        <w:pBdr>
          <w:bottom w:val="single" w:color="F59E0B" w:sz="4"/>
        </w:pBdr>
        <w:spacing w:after="120" w:before="360"/>
      </w:pPr>
      <w:r>
        <w:rPr>
          <w:rFonts w:ascii="Calibri" w:cs="Calibri" w:eastAsia="Calibri" w:hAnsi="Calibri"/>
          <w:b/>
          <w:bCs/>
          <w:color w:val="1A1A2E"/>
          <w:sz w:val="36"/>
          <w:szCs w:val="36"/>
        </w:rPr>
        <w:t xml:space="preserve">6.5 Are You Ready for Claude Code?</w:t>
      </w:r>
    </w:p>
    <w:p>
      <w:pPr>
        <w:spacing w:after="80" w:before="80"/>
      </w:pPr>
      <w:r>
        <w:rPr>
          <w:rFonts w:ascii="Calibri" w:cs="Calibri" w:eastAsia="Calibri" w:hAnsi="Calibri"/>
          <w:b w:val="false"/>
          <w:bCs w:val="false"/>
          <w:i w:val="false"/>
          <w:iCs w:val="false"/>
          <w:color w:val="374151"/>
          <w:sz w:val="22"/>
          <w:szCs w:val="22"/>
        </w:rPr>
        <w:t xml:space="preserve">Yes. You already installed it. You can see it running in your screenshot at ~/supplyxerp.</w:t>
      </w:r>
    </w:p>
    <w:p>
      <w:pPr>
        <w:spacing w:after="80" w:before="80"/>
      </w:pPr>
      <w:r>
        <w:rPr>
          <w:rFonts w:ascii="Calibri" w:cs="Calibri" w:eastAsia="Calibri" w:hAnsi="Calibri"/>
          <w:b w:val="false"/>
          <w:bCs w:val="false"/>
          <w:i w:val="false"/>
          <w:iCs w:val="false"/>
          <w:color w:val="374151"/>
          <w:sz w:val="22"/>
          <w:szCs w:val="22"/>
        </w:rPr>
        <w:t xml:space="preserve">Start Claude Code in your project directory:</w:t>
      </w:r>
    </w:p>
    <w:p>
      <w:pPr>
        <w:shd w:color="1E293B" w:val="solid"/>
        <w:spacing w:after="80" w:before="80"/>
      </w:pPr>
      <w:r>
        <w:rPr>
          <w:rFonts w:ascii="Courier New" w:cs="Courier New" w:eastAsia="Courier New" w:hAnsi="Courier New"/>
          <w:color w:val="E2E8F0"/>
          <w:sz w:val="19"/>
          <w:szCs w:val="19"/>
        </w:rPr>
        <w:t xml:space="preserve">cd ~/supplyxerp</w:t>
      </w:r>
    </w:p>
    <w:p>
      <w:pPr>
        <w:shd w:color="1E293B" w:val="solid"/>
        <w:spacing w:after="80" w:before="80"/>
      </w:pPr>
      <w:r>
        <w:rPr>
          <w:rFonts w:ascii="Courier New" w:cs="Courier New" w:eastAsia="Courier New" w:hAnsi="Courier New"/>
          <w:color w:val="E2E8F0"/>
          <w:sz w:val="19"/>
          <w:szCs w:val="19"/>
        </w:rPr>
        <w:t xml:space="preserve">claude</w:t>
      </w:r>
    </w:p>
    <w:p>
      <w:pPr>
        <w:spacing w:after="80" w:before="80"/>
      </w:pPr>
      <w:r>
        <w:rPr>
          <w:rFonts w:ascii="Calibri" w:cs="Calibri" w:eastAsia="Calibri" w:hAnsi="Calibri"/>
          <w:b w:val="false"/>
          <w:bCs w:val="false"/>
          <w:i w:val="false"/>
          <w:iCs w:val="false"/>
          <w:color w:val="374151"/>
          <w:sz w:val="22"/>
          <w:szCs w:val="22"/>
        </w:rPr>
        <w:t xml:space="preserve">Then give it a task the same way you give prompts to Antigravity. The advantage of Claude Code over Antigravity is that you can ask clarifying questions mid-task and it will stop and answer before continuing. It also has direct access to your file system without needing MCP workarounds.</w:t>
      </w:r>
    </w:p>
    <w:p>
      <w:r>
        <w:br w:type="page"/>
      </w:r>
    </w:p>
    <w:p>
      <w:pPr>
        <w:pStyle w:val="Heading1"/>
        <w:spacing w:after="160" w:before="480"/>
      </w:pPr>
      <w:r>
        <w:rPr>
          <w:rFonts w:ascii="Calibri" w:cs="Calibri" w:eastAsia="Calibri" w:hAnsi="Calibri"/>
          <w:b/>
          <w:bCs/>
          <w:color w:val="1A1A2E"/>
          <w:sz w:val="52"/>
          <w:szCs w:val="52"/>
        </w:rPr>
        <w:t xml:space="preserve">7. Versioning, Compatibility &amp; Long-Term Maintenance</w:t>
      </w:r>
    </w:p>
    <w:p>
      <w:pPr>
        <w:pStyle w:val="Heading2"/>
        <w:pBdr>
          <w:bottom w:val="single" w:color="F59E0B" w:sz="4"/>
        </w:pBdr>
        <w:spacing w:after="120" w:before="360"/>
      </w:pPr>
      <w:r>
        <w:rPr>
          <w:rFonts w:ascii="Calibri" w:cs="Calibri" w:eastAsia="Calibri" w:hAnsi="Calibri"/>
          <w:b/>
          <w:bCs/>
          <w:color w:val="1A1A2E"/>
          <w:sz w:val="36"/>
          <w:szCs w:val="36"/>
        </w:rPr>
        <w:t xml:space="preserve">7.1 API Versioning Strategy</w:t>
      </w:r>
    </w:p>
    <w:p>
      <w:pPr>
        <w:spacing w:after="80" w:before="80"/>
      </w:pPr>
      <w:r>
        <w:rPr>
          <w:rFonts w:ascii="Calibri" w:cs="Calibri" w:eastAsia="Calibri" w:hAnsi="Calibri"/>
          <w:b w:val="false"/>
          <w:bCs w:val="false"/>
          <w:i w:val="false"/>
          <w:iCs w:val="false"/>
          <w:color w:val="374151"/>
          <w:sz w:val="22"/>
          <w:szCs w:val="22"/>
        </w:rPr>
        <w:t xml:space="preserve">SupplyXERP does not use URL versioning (/api/v1/, /api/v2/). This is intentional. URL versioning creates duplicate code and maintenance debt. Instead:</w:t>
      </w:r>
    </w:p>
    <w:p>
      <w:pPr>
        <w:pStyle w:val="ListParagraph"/>
        <w:numPr>
          <w:ilvl w:val="0"/>
          <w:numId w:val="1"/>
        </w:numPr>
        <w:spacing w:after="60" w:before="60"/>
      </w:pPr>
      <w:r>
        <w:rPr>
          <w:rFonts w:ascii="Calibri" w:cs="Calibri" w:eastAsia="Calibri" w:hAnsi="Calibri"/>
          <w:color w:val="374151"/>
          <w:sz w:val="21"/>
          <w:szCs w:val="21"/>
        </w:rPr>
        <w:t xml:space="preserve">Breaking changes are never made to existing endpoint signatures</w:t>
      </w:r>
    </w:p>
    <w:p>
      <w:pPr>
        <w:pStyle w:val="ListParagraph"/>
        <w:numPr>
          <w:ilvl w:val="0"/>
          <w:numId w:val="1"/>
        </w:numPr>
        <w:spacing w:after="60" w:before="60"/>
      </w:pPr>
      <w:r>
        <w:rPr>
          <w:rFonts w:ascii="Calibri" w:cs="Calibri" w:eastAsia="Calibri" w:hAnsi="Calibri"/>
          <w:color w:val="374151"/>
          <w:sz w:val="21"/>
          <w:szCs w:val="21"/>
        </w:rPr>
        <w:t xml:space="preserve">New fields are added to responses (additive-only changes) — existing clients ignore unknown fields</w:t>
      </w:r>
    </w:p>
    <w:p>
      <w:pPr>
        <w:pStyle w:val="ListParagraph"/>
        <w:numPr>
          <w:ilvl w:val="0"/>
          <w:numId w:val="1"/>
        </w:numPr>
        <w:spacing w:after="60" w:before="60"/>
      </w:pPr>
      <w:r>
        <w:rPr>
          <w:rFonts w:ascii="Calibri" w:cs="Calibri" w:eastAsia="Calibri" w:hAnsi="Calibri"/>
          <w:color w:val="374151"/>
          <w:sz w:val="21"/>
          <w:szCs w:val="21"/>
        </w:rPr>
        <w:t xml:space="preserve">When a behaviour must change incompatibly, a new endpoint is created alongside the old one</w:t>
      </w:r>
    </w:p>
    <w:p>
      <w:pPr>
        <w:pStyle w:val="ListParagraph"/>
        <w:numPr>
          <w:ilvl w:val="0"/>
          <w:numId w:val="1"/>
        </w:numPr>
        <w:spacing w:after="60" w:before="60"/>
      </w:pPr>
      <w:r>
        <w:rPr>
          <w:rFonts w:ascii="Calibri" w:cs="Calibri" w:eastAsia="Calibri" w:hAnsi="Calibri"/>
          <w:color w:val="374151"/>
          <w:sz w:val="21"/>
          <w:szCs w:val="21"/>
        </w:rPr>
        <w:t xml:space="preserve">Old endpoints are deprecated with a Deprecation: header and sunset date</w:t>
      </w:r>
    </w:p>
    <w:p>
      <w:pPr>
        <w:pStyle w:val="ListParagraph"/>
        <w:numPr>
          <w:ilvl w:val="0"/>
          <w:numId w:val="1"/>
        </w:numPr>
        <w:spacing w:after="60" w:before="60"/>
      </w:pPr>
      <w:r>
        <w:rPr>
          <w:rFonts w:ascii="Calibri" w:cs="Calibri" w:eastAsia="Calibri" w:hAnsi="Calibri"/>
          <w:color w:val="374151"/>
          <w:sz w:val="21"/>
          <w:szCs w:val="21"/>
        </w:rPr>
        <w:t xml:space="preserve">Minimum 6-month deprecation period before removal</w:t>
      </w:r>
    </w:p>
    <w:p>
      <w:pPr>
        <w:pStyle w:val="Heading2"/>
        <w:pBdr>
          <w:bottom w:val="single" w:color="F59E0B" w:sz="4"/>
        </w:pBdr>
        <w:spacing w:after="120" w:before="360"/>
      </w:pPr>
      <w:r>
        <w:rPr>
          <w:rFonts w:ascii="Calibri" w:cs="Calibri" w:eastAsia="Calibri" w:hAnsi="Calibri"/>
          <w:b/>
          <w:bCs/>
          <w:color w:val="1A1A2E"/>
          <w:sz w:val="36"/>
          <w:szCs w:val="36"/>
        </w:rPr>
        <w:t xml:space="preserve">7.2 Database Migration Strategy</w:t>
      </w:r>
    </w:p>
    <w:p>
      <w:pPr>
        <w:spacing w:after="80" w:before="80"/>
      </w:pPr>
      <w:r>
        <w:rPr>
          <w:rFonts w:ascii="Calibri" w:cs="Calibri" w:eastAsia="Calibri" w:hAnsi="Calibri"/>
          <w:b w:val="false"/>
          <w:bCs w:val="false"/>
          <w:i w:val="false"/>
          <w:iCs w:val="false"/>
          <w:color w:val="374151"/>
          <w:sz w:val="22"/>
          <w:szCs w:val="22"/>
        </w:rPr>
        <w:t xml:space="preserve">Every schema change is a numbered migration file. Migrations are applied in order and never modified after they are committed.</w:t>
      </w:r>
    </w:p>
    <w:p>
      <w:pPr>
        <w:shd w:color="1E293B" w:val="solid"/>
        <w:spacing w:after="80" w:before="80"/>
      </w:pPr>
      <w:r>
        <w:rPr>
          <w:rFonts w:ascii="Courier New" w:cs="Courier New" w:eastAsia="Courier New" w:hAnsi="Courier New"/>
          <w:color w:val="E2E8F0"/>
          <w:sz w:val="19"/>
          <w:szCs w:val="19"/>
        </w:rPr>
        <w:t xml:space="preserve">backend/internal/db/migrations/</w:t>
      </w:r>
    </w:p>
    <w:p>
      <w:pPr>
        <w:shd w:color="1E293B" w:val="solid"/>
        <w:spacing w:after="80" w:before="80"/>
      </w:pPr>
      <w:r>
        <w:rPr>
          <w:rFonts w:ascii="Courier New" w:cs="Courier New" w:eastAsia="Courier New" w:hAnsi="Courier New"/>
          <w:color w:val="E2E8F0"/>
          <w:sz w:val="19"/>
          <w:szCs w:val="19"/>
        </w:rPr>
        <w:t xml:space="preserve">  001_init.sql</w:t>
      </w:r>
    </w:p>
    <w:p>
      <w:pPr>
        <w:shd w:color="1E293B" w:val="solid"/>
        <w:spacing w:after="80" w:before="80"/>
      </w:pPr>
      <w:r>
        <w:rPr>
          <w:rFonts w:ascii="Courier New" w:cs="Courier New" w:eastAsia="Courier New" w:hAnsi="Courier New"/>
          <w:color w:val="E2E8F0"/>
          <w:sz w:val="19"/>
          <w:szCs w:val="19"/>
        </w:rPr>
        <w:t xml:space="preserve">  002_products.sql</w:t>
      </w:r>
    </w:p>
    <w:p>
      <w:pPr>
        <w:shd w:color="1E293B" w:val="solid"/>
        <w:spacing w:after="80" w:before="80"/>
      </w:pPr>
      <w:r>
        <w:rPr>
          <w:rFonts w:ascii="Courier New" w:cs="Courier New" w:eastAsia="Courier New" w:hAnsi="Courier New"/>
          <w:color w:val="E2E8F0"/>
          <w:sz w:val="19"/>
          <w:szCs w:val="19"/>
        </w:rPr>
        <w:t xml:space="preserve">  ...</w:t>
      </w:r>
    </w:p>
    <w:p>
      <w:pPr>
        <w:shd w:color="1E293B" w:val="solid"/>
        <w:spacing w:after="80" w:before="80"/>
      </w:pPr>
      <w:r>
        <w:rPr>
          <w:rFonts w:ascii="Courier New" w:cs="Courier New" w:eastAsia="Courier New" w:hAnsi="Courier New"/>
          <w:color w:val="E2E8F0"/>
          <w:sz w:val="19"/>
          <w:szCs w:val="19"/>
        </w:rPr>
        <w:t xml:space="preserve">  029_document_dispatch.sql</w:t>
      </w:r>
    </w:p>
    <w:p>
      <w:pPr>
        <w:pStyle w:val="ListParagraph"/>
        <w:numPr>
          <w:ilvl w:val="0"/>
          <w:numId w:val="1"/>
        </w:numPr>
        <w:spacing w:after="60" w:before="60"/>
      </w:pPr>
      <w:r>
        <w:rPr>
          <w:rFonts w:ascii="Calibri" w:cs="Calibri" w:eastAsia="Calibri" w:hAnsi="Calibri"/>
          <w:color w:val="374151"/>
          <w:sz w:val="21"/>
          <w:szCs w:val="21"/>
        </w:rPr>
        <w:t xml:space="preserve">Migrations are forward-only. No rollback migrations. Rollback = new forward migration.</w:t>
      </w:r>
    </w:p>
    <w:p>
      <w:pPr>
        <w:pStyle w:val="ListParagraph"/>
        <w:numPr>
          <w:ilvl w:val="0"/>
          <w:numId w:val="1"/>
        </w:numPr>
        <w:spacing w:after="60" w:before="60"/>
      </w:pPr>
      <w:r>
        <w:rPr>
          <w:rFonts w:ascii="Calibri" w:cs="Calibri" w:eastAsia="Calibri" w:hAnsi="Calibri"/>
          <w:color w:val="374151"/>
          <w:sz w:val="21"/>
          <w:szCs w:val="21"/>
        </w:rPr>
        <w:t xml:space="preserve">Every migration is idempotent (uses IF NOT EXISTS, ON CONFLICT DO NOTHING)</w:t>
      </w:r>
    </w:p>
    <w:p>
      <w:pPr>
        <w:pStyle w:val="ListParagraph"/>
        <w:numPr>
          <w:ilvl w:val="0"/>
          <w:numId w:val="1"/>
        </w:numPr>
        <w:spacing w:after="60" w:before="60"/>
      </w:pPr>
      <w:r>
        <w:rPr>
          <w:rFonts w:ascii="Calibri" w:cs="Calibri" w:eastAsia="Calibri" w:hAnsi="Calibri"/>
          <w:color w:val="374151"/>
          <w:sz w:val="21"/>
          <w:szCs w:val="21"/>
        </w:rPr>
        <w:t xml:space="preserve">Never ALTER a column type in production — add a new column, migrate data, drop the old one</w:t>
      </w:r>
    </w:p>
    <w:p>
      <w:pPr>
        <w:pStyle w:val="ListParagraph"/>
        <w:numPr>
          <w:ilvl w:val="0"/>
          <w:numId w:val="1"/>
        </w:numPr>
        <w:spacing w:after="60" w:before="60"/>
      </w:pPr>
      <w:r>
        <w:rPr>
          <w:rFonts w:ascii="Calibri" w:cs="Calibri" w:eastAsia="Calibri" w:hAnsi="Calibri"/>
          <w:color w:val="374151"/>
          <w:sz w:val="21"/>
          <w:szCs w:val="21"/>
        </w:rPr>
        <w:t xml:space="preserve">Never DROP a table that has foreign key references without checking all dependents first</w:t>
      </w:r>
    </w:p>
    <w:p>
      <w:pPr>
        <w:pStyle w:val="Heading2"/>
        <w:pBdr>
          <w:bottom w:val="single" w:color="F59E0B" w:sz="4"/>
        </w:pBdr>
        <w:spacing w:after="120" w:before="360"/>
      </w:pPr>
      <w:r>
        <w:rPr>
          <w:rFonts w:ascii="Calibri" w:cs="Calibri" w:eastAsia="Calibri" w:hAnsi="Calibri"/>
          <w:b/>
          <w:bCs/>
          <w:color w:val="1A1A2E"/>
          <w:sz w:val="36"/>
          <w:szCs w:val="36"/>
        </w:rPr>
        <w:t xml:space="preserve">7.3 Frontend Versioning</w:t>
      </w:r>
    </w:p>
    <w:p>
      <w:pPr>
        <w:spacing w:after="80" w:before="80"/>
      </w:pPr>
      <w:r>
        <w:rPr>
          <w:rFonts w:ascii="Calibri" w:cs="Calibri" w:eastAsia="Calibri" w:hAnsi="Calibri"/>
          <w:b w:val="false"/>
          <w:bCs w:val="false"/>
          <w:i w:val="false"/>
          <w:iCs w:val="false"/>
          <w:color w:val="374151"/>
          <w:sz w:val="22"/>
          <w:szCs w:val="22"/>
        </w:rPr>
        <w:t xml:space="preserve">The frontend version is separate from the backend version. They communicate via the API contract.</w:t>
      </w:r>
    </w:p>
    <w:p>
      <w:pPr>
        <w:pStyle w:val="ListParagraph"/>
        <w:numPr>
          <w:ilvl w:val="0"/>
          <w:numId w:val="1"/>
        </w:numPr>
        <w:spacing w:after="60" w:before="60"/>
      </w:pPr>
      <w:r>
        <w:rPr>
          <w:rFonts w:ascii="Calibri" w:cs="Calibri" w:eastAsia="Calibri" w:hAnsi="Calibri"/>
          <w:color w:val="374151"/>
          <w:sz w:val="21"/>
          <w:szCs w:val="21"/>
        </w:rPr>
        <w:t xml:space="preserve">Package versions pinned in package.json — no ^ or ~ floating ranges in production</w:t>
      </w:r>
    </w:p>
    <w:p>
      <w:pPr>
        <w:pStyle w:val="ListParagraph"/>
        <w:numPr>
          <w:ilvl w:val="0"/>
          <w:numId w:val="1"/>
        </w:numPr>
        <w:spacing w:after="60" w:before="60"/>
      </w:pPr>
      <w:r>
        <w:rPr>
          <w:rFonts w:ascii="Calibri" w:cs="Calibri" w:eastAsia="Calibri" w:hAnsi="Calibri"/>
          <w:color w:val="374151"/>
          <w:sz w:val="21"/>
          <w:szCs w:val="21"/>
        </w:rPr>
        <w:t xml:space="preserve">Node.js LTS version only (currently Node 22 LTS)</w:t>
      </w:r>
    </w:p>
    <w:p>
      <w:pPr>
        <w:pStyle w:val="ListParagraph"/>
        <w:numPr>
          <w:ilvl w:val="0"/>
          <w:numId w:val="1"/>
        </w:numPr>
        <w:spacing w:after="60" w:before="60"/>
      </w:pPr>
      <w:r>
        <w:rPr>
          <w:rFonts w:ascii="Calibri" w:cs="Calibri" w:eastAsia="Calibri" w:hAnsi="Calibri"/>
          <w:color w:val="374151"/>
          <w:sz w:val="21"/>
          <w:szCs w:val="21"/>
        </w:rPr>
        <w:t xml:space="preserve">React version frozen until a major React release requires migration planning</w:t>
      </w:r>
    </w:p>
    <w:p>
      <w:pPr>
        <w:pStyle w:val="ListParagraph"/>
        <w:numPr>
          <w:ilvl w:val="0"/>
          <w:numId w:val="1"/>
        </w:numPr>
        <w:spacing w:after="60" w:before="60"/>
      </w:pPr>
      <w:r>
        <w:rPr>
          <w:rFonts w:ascii="Calibri" w:cs="Calibri" w:eastAsia="Calibri" w:hAnsi="Calibri"/>
          <w:color w:val="374151"/>
          <w:sz w:val="21"/>
          <w:szCs w:val="21"/>
        </w:rPr>
        <w:t xml:space="preserve">Tailwind version frozen at 3.x — Tailwind 4 is a different architecture, migration is a planned project</w:t>
      </w:r>
    </w:p>
    <w:p>
      <w:pPr>
        <w:pStyle w:val="Heading2"/>
        <w:pBdr>
          <w:bottom w:val="single" w:color="F59E0B" w:sz="4"/>
        </w:pBdr>
        <w:spacing w:after="120" w:before="360"/>
      </w:pPr>
      <w:r>
        <w:rPr>
          <w:rFonts w:ascii="Calibri" w:cs="Calibri" w:eastAsia="Calibri" w:hAnsi="Calibri"/>
          <w:b/>
          <w:bCs/>
          <w:color w:val="1A1A2E"/>
          <w:sz w:val="36"/>
          <w:szCs w:val="36"/>
        </w:rPr>
        <w:t xml:space="preserve">7.4 The Module Capability System — Client-Specific Modules</w:t>
      </w:r>
    </w:p>
    <w:p>
      <w:pPr>
        <w:spacing w:after="80" w:before="80"/>
      </w:pPr>
      <w:r>
        <w:rPr>
          <w:rFonts w:ascii="Calibri" w:cs="Calibri" w:eastAsia="Calibri" w:hAnsi="Calibri"/>
          <w:b w:val="false"/>
          <w:bCs w:val="false"/>
          <w:i w:val="false"/>
          <w:iCs w:val="false"/>
          <w:color w:val="374151"/>
          <w:sz w:val="22"/>
          <w:szCs w:val="22"/>
        </w:rPr>
        <w:t xml:space="preserve">This is how a client buys only Inventory Management or only Warehouse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Capability flag</w:t>
            </w:r>
          </w:p>
        </w:tc>
        <w:tc>
          <w:tcPr>
            <w:tcW w:type="dxa" w:w="6500"/>
            <w:shd w:color="1A1A2E" w:val="solid"/>
            <w:vAlign w:val="center"/>
          </w:tcPr>
          <w:p>
            <w:r>
              <w:rPr>
                <w:rFonts w:ascii="Calibri" w:cs="Calibri" w:eastAsia="Calibri" w:hAnsi="Calibri"/>
                <w:b/>
                <w:bCs/>
                <w:color w:val="FFFFFF"/>
                <w:sz w:val="20"/>
                <w:szCs w:val="20"/>
              </w:rPr>
              <w:t xml:space="preserve">What it controls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has_warehouse</w:t>
            </w:r>
          </w:p>
        </w:tc>
        <w:tc>
          <w:tcPr>
            <w:tcW w:type="dxa" w:w="6500"/>
            <w:vAlign w:val="center"/>
          </w:tcPr>
          <w:p>
            <w:r>
              <w:rPr>
                <w:rFonts w:ascii="Calibri" w:cs="Calibri" w:eastAsia="Calibri" w:hAnsi="Calibri"/>
                <w:b w:val="false"/>
                <w:bCs w:val="false"/>
                <w:color w:val="374151"/>
                <w:sz w:val="20"/>
                <w:szCs w:val="20"/>
              </w:rPr>
              <w:t xml:space="preserve">StockFlow, LedgerStock modules visible and accessible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has_production</w:t>
            </w:r>
          </w:p>
        </w:tc>
        <w:tc>
          <w:tcPr>
            <w:tcW w:type="dxa" w:w="6500"/>
            <w:vAlign w:val="center"/>
          </w:tcPr>
          <w:p>
            <w:r>
              <w:rPr>
                <w:rFonts w:ascii="Calibri" w:cs="Calibri" w:eastAsia="Calibri" w:hAnsi="Calibri"/>
                <w:b w:val="false"/>
                <w:bCs w:val="false"/>
                <w:color w:val="374151"/>
                <w:sz w:val="20"/>
                <w:szCs w:val="20"/>
              </w:rPr>
              <w:t xml:space="preserve">BuildOrder, QualityGate modules visible and accessible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has_sales</w:t>
            </w:r>
          </w:p>
        </w:tc>
        <w:tc>
          <w:tcPr>
            <w:tcW w:type="dxa" w:w="6500"/>
            <w:vAlign w:val="center"/>
          </w:tcPr>
          <w:p>
            <w:r>
              <w:rPr>
                <w:rFonts w:ascii="Calibri" w:cs="Calibri" w:eastAsia="Calibri" w:hAnsi="Calibri"/>
                <w:b w:val="false"/>
                <w:bCs w:val="false"/>
                <w:color w:val="374151"/>
                <w:sz w:val="20"/>
                <w:szCs w:val="20"/>
              </w:rPr>
              <w:t xml:space="preserve">DealFlow, RouteRunner, Supply Pacts modules visible and accessible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has_procurement</w:t>
            </w:r>
          </w:p>
        </w:tc>
        <w:tc>
          <w:tcPr>
            <w:tcW w:type="dxa" w:w="6500"/>
            <w:vAlign w:val="center"/>
          </w:tcPr>
          <w:p>
            <w:r>
              <w:rPr>
                <w:rFonts w:ascii="Calibri" w:cs="Calibri" w:eastAsia="Calibri" w:hAnsi="Calibri"/>
                <w:b w:val="false"/>
                <w:bCs w:val="false"/>
                <w:color w:val="374151"/>
                <w:sz w:val="20"/>
                <w:szCs w:val="20"/>
              </w:rPr>
              <w:t xml:space="preserve">Material Hub, RFQ, Purchase Orders, Goods Receipt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has_analytics</w:t>
            </w:r>
          </w:p>
        </w:tc>
        <w:tc>
          <w:tcPr>
            <w:tcW w:type="dxa" w:w="6500"/>
            <w:vAlign w:val="center"/>
          </w:tcPr>
          <w:p>
            <w:r>
              <w:rPr>
                <w:rFonts w:ascii="Calibri" w:cs="Calibri" w:eastAsia="Calibri" w:hAnsi="Calibri"/>
                <w:b w:val="false"/>
                <w:bCs w:val="false"/>
                <w:color w:val="374151"/>
                <w:sz w:val="20"/>
                <w:szCs w:val="20"/>
              </w:rPr>
              <w:t xml:space="preserve">ClickHouse dashboards and reports (Phase 2)</w:t>
            </w:r>
          </w:p>
        </w:tc>
      </w:tr>
    </w:tbl>
    <w:p>
      <w:pPr>
        <w:spacing w:after="80" w:before="80"/>
      </w:pPr>
      <w:r>
        <w:rPr>
          <w:rFonts w:ascii="Calibri" w:cs="Calibri" w:eastAsia="Calibri" w:hAnsi="Calibri"/>
          <w:b w:val="false"/>
          <w:bCs w:val="false"/>
          <w:i w:val="false"/>
          <w:iCs w:val="false"/>
          <w:color w:val="374151"/>
          <w:sz w:val="22"/>
          <w:szCs w:val="22"/>
        </w:rPr>
        <w:t xml:space="preserve">When a client activates a new module: admin sets the capability flag to true in tenant_config. The frontend reads GET /api/config/tenant on login and shows only enabled ribbon tabs. The backend middleware rejects API calls to disabled modules with 403. No reinstallation. No consultant. No waiting.</w:t>
      </w:r>
    </w:p>
    <w:p>
      <w:r>
        <w:br w:type="page"/>
      </w:r>
    </w:p>
    <w:p>
      <w:pPr>
        <w:pStyle w:val="Heading1"/>
        <w:spacing w:after="160" w:before="480"/>
      </w:pPr>
      <w:r>
        <w:rPr>
          <w:rFonts w:ascii="Calibri" w:cs="Calibri" w:eastAsia="Calibri" w:hAnsi="Calibri"/>
          <w:b/>
          <w:bCs/>
          <w:color w:val="1A1A2E"/>
          <w:sz w:val="52"/>
          <w:szCs w:val="52"/>
        </w:rPr>
        <w:t xml:space="preserve">8. Standard Operating Procedures</w:t>
      </w:r>
    </w:p>
    <w:p>
      <w:pPr>
        <w:pStyle w:val="Heading2"/>
        <w:pBdr>
          <w:bottom w:val="single" w:color="F59E0B" w:sz="4"/>
        </w:pBdr>
        <w:spacing w:after="120" w:before="360"/>
      </w:pPr>
      <w:r>
        <w:rPr>
          <w:rFonts w:ascii="Calibri" w:cs="Calibri" w:eastAsia="Calibri" w:hAnsi="Calibri"/>
          <w:b/>
          <w:bCs/>
          <w:color w:val="1A1A2E"/>
          <w:sz w:val="36"/>
          <w:szCs w:val="36"/>
        </w:rPr>
        <w:t xml:space="preserve">8.1 SOP 001 — Starting a New Development Session</w:t>
      </w:r>
    </w:p>
    <w:p>
      <w:pPr>
        <w:pStyle w:val="ListParagraph"/>
        <w:numPr>
          <w:ilvl w:val="0"/>
          <w:numId w:val="1"/>
        </w:numPr>
        <w:spacing w:after="60" w:before="60"/>
      </w:pPr>
      <w:r>
        <w:rPr>
          <w:rFonts w:ascii="Calibri" w:cs="Calibri" w:eastAsia="Calibri" w:hAnsi="Calibri"/>
          <w:color w:val="374151"/>
          <w:sz w:val="21"/>
          <w:szCs w:val="21"/>
        </w:rPr>
        <w:t xml:space="preserve">Step 1: git status — confirm working tree is clean</w:t>
      </w:r>
    </w:p>
    <w:p>
      <w:pPr>
        <w:pStyle w:val="ListParagraph"/>
        <w:numPr>
          <w:ilvl w:val="0"/>
          <w:numId w:val="1"/>
        </w:numPr>
        <w:spacing w:after="60" w:before="60"/>
      </w:pPr>
      <w:r>
        <w:rPr>
          <w:rFonts w:ascii="Calibri" w:cs="Calibri" w:eastAsia="Calibri" w:hAnsi="Calibri"/>
          <w:color w:val="374151"/>
          <w:sz w:val="21"/>
          <w:szCs w:val="21"/>
        </w:rPr>
        <w:t xml:space="preserve">Step 2: git pull origin main — pull latest changes</w:t>
      </w:r>
    </w:p>
    <w:p>
      <w:pPr>
        <w:pStyle w:val="ListParagraph"/>
        <w:numPr>
          <w:ilvl w:val="0"/>
          <w:numId w:val="1"/>
        </w:numPr>
        <w:spacing w:after="60" w:before="60"/>
      </w:pPr>
      <w:r>
        <w:rPr>
          <w:rFonts w:ascii="Calibri" w:cs="Calibri" w:eastAsia="Calibri" w:hAnsi="Calibri"/>
          <w:color w:val="374151"/>
          <w:sz w:val="21"/>
          <w:szCs w:val="21"/>
        </w:rPr>
        <w:t xml:space="preserve">Step 3: git stash list — check for stashed work and pop if present</w:t>
      </w:r>
    </w:p>
    <w:p>
      <w:pPr>
        <w:pStyle w:val="ListParagraph"/>
        <w:numPr>
          <w:ilvl w:val="0"/>
          <w:numId w:val="1"/>
        </w:numPr>
        <w:spacing w:after="60" w:before="60"/>
      </w:pPr>
      <w:r>
        <w:rPr>
          <w:rFonts w:ascii="Calibri" w:cs="Calibri" w:eastAsia="Calibri" w:hAnsi="Calibri"/>
          <w:color w:val="374151"/>
          <w:sz w:val="21"/>
          <w:szCs w:val="21"/>
        </w:rPr>
        <w:t xml:space="preserve">Step 4: docker compose up -d — start all services</w:t>
      </w:r>
    </w:p>
    <w:p>
      <w:pPr>
        <w:pStyle w:val="ListParagraph"/>
        <w:numPr>
          <w:ilvl w:val="0"/>
          <w:numId w:val="1"/>
        </w:numPr>
        <w:spacing w:after="60" w:before="60"/>
      </w:pPr>
      <w:r>
        <w:rPr>
          <w:rFonts w:ascii="Calibri" w:cs="Calibri" w:eastAsia="Calibri" w:hAnsi="Calibri"/>
          <w:color w:val="374151"/>
          <w:sz w:val="21"/>
          <w:szCs w:val="21"/>
        </w:rPr>
        <w:t xml:space="preserve">Step 5: docker logs supplyxerp-backend --tail 20 — confirm backend started</w:t>
      </w:r>
    </w:p>
    <w:p>
      <w:pPr>
        <w:pStyle w:val="ListParagraph"/>
        <w:numPr>
          <w:ilvl w:val="0"/>
          <w:numId w:val="1"/>
        </w:numPr>
        <w:spacing w:after="60" w:before="60"/>
      </w:pPr>
      <w:r>
        <w:rPr>
          <w:rFonts w:ascii="Calibri" w:cs="Calibri" w:eastAsia="Calibri" w:hAnsi="Calibri"/>
          <w:color w:val="374151"/>
          <w:sz w:val="21"/>
          <w:szCs w:val="21"/>
        </w:rPr>
        <w:t xml:space="preserve">Step 6: In Antigravity or Claude Code — call MCP: get_session_context</w:t>
      </w:r>
    </w:p>
    <w:p>
      <w:pPr>
        <w:pStyle w:val="ListParagraph"/>
        <w:numPr>
          <w:ilvl w:val="0"/>
          <w:numId w:val="1"/>
        </w:numPr>
        <w:spacing w:after="60" w:before="60"/>
      </w:pPr>
      <w:r>
        <w:rPr>
          <w:rFonts w:ascii="Calibri" w:cs="Calibri" w:eastAsia="Calibri" w:hAnsi="Calibri"/>
          <w:color w:val="374151"/>
          <w:sz w:val="21"/>
          <w:szCs w:val="21"/>
        </w:rPr>
        <w:t xml:space="preserve">Step 7: Read the current blockers from MCP response before writing any code</w:t>
      </w:r>
    </w:p>
    <w:p>
      <w:pPr>
        <w:pStyle w:val="Heading2"/>
        <w:pBdr>
          <w:bottom w:val="single" w:color="F59E0B" w:sz="4"/>
        </w:pBdr>
        <w:spacing w:after="120" w:before="360"/>
      </w:pPr>
      <w:r>
        <w:rPr>
          <w:rFonts w:ascii="Calibri" w:cs="Calibri" w:eastAsia="Calibri" w:hAnsi="Calibri"/>
          <w:b/>
          <w:bCs/>
          <w:color w:val="1A1A2E"/>
          <w:sz w:val="36"/>
          <w:szCs w:val="36"/>
        </w:rPr>
        <w:t xml:space="preserve">8.2 SOP 002 — Ending a Session</w:t>
      </w:r>
    </w:p>
    <w:p>
      <w:pPr>
        <w:pStyle w:val="ListParagraph"/>
        <w:numPr>
          <w:ilvl w:val="0"/>
          <w:numId w:val="1"/>
        </w:numPr>
        <w:spacing w:after="60" w:before="60"/>
      </w:pPr>
      <w:r>
        <w:rPr>
          <w:rFonts w:ascii="Calibri" w:cs="Calibri" w:eastAsia="Calibri" w:hAnsi="Calibri"/>
          <w:color w:val="374151"/>
          <w:sz w:val="21"/>
          <w:szCs w:val="21"/>
        </w:rPr>
        <w:t xml:space="preserve">Step 1: Run compile gate — go build ./... must return zero output</w:t>
      </w:r>
    </w:p>
    <w:p>
      <w:pPr>
        <w:pStyle w:val="ListParagraph"/>
        <w:numPr>
          <w:ilvl w:val="0"/>
          <w:numId w:val="1"/>
        </w:numPr>
        <w:spacing w:after="60" w:before="60"/>
      </w:pPr>
      <w:r>
        <w:rPr>
          <w:rFonts w:ascii="Calibri" w:cs="Calibri" w:eastAsia="Calibri" w:hAnsi="Calibri"/>
          <w:color w:val="374151"/>
          <w:sz w:val="21"/>
          <w:szCs w:val="21"/>
        </w:rPr>
        <w:t xml:space="preserve">Step 2: Run frontend compile — npx tsc -p tsconfig.app.json --noEmit — zero errors</w:t>
      </w:r>
    </w:p>
    <w:p>
      <w:pPr>
        <w:pStyle w:val="ListParagraph"/>
        <w:numPr>
          <w:ilvl w:val="0"/>
          <w:numId w:val="1"/>
        </w:numPr>
        <w:spacing w:after="60" w:before="60"/>
      </w:pPr>
      <w:r>
        <w:rPr>
          <w:rFonts w:ascii="Calibri" w:cs="Calibri" w:eastAsia="Calibri" w:hAnsi="Calibri"/>
          <w:color w:val="374151"/>
          <w:sz w:val="21"/>
          <w:szCs w:val="21"/>
        </w:rPr>
        <w:t xml:space="preserve">Step 3: curl-test any new endpoints created during the session</w:t>
      </w:r>
    </w:p>
    <w:p>
      <w:pPr>
        <w:pStyle w:val="ListParagraph"/>
        <w:numPr>
          <w:ilvl w:val="0"/>
          <w:numId w:val="1"/>
        </w:numPr>
        <w:spacing w:after="60" w:before="60"/>
      </w:pPr>
      <w:r>
        <w:rPr>
          <w:rFonts w:ascii="Calibri" w:cs="Calibri" w:eastAsia="Calibri" w:hAnsi="Calibri"/>
          <w:color w:val="374151"/>
          <w:sz w:val="21"/>
          <w:szCs w:val="21"/>
        </w:rPr>
        <w:t xml:space="preserve">Step 4: git add -A &amp;&amp; git commit -m 'feat: clear description of what was built'</w:t>
      </w:r>
    </w:p>
    <w:p>
      <w:pPr>
        <w:pStyle w:val="ListParagraph"/>
        <w:numPr>
          <w:ilvl w:val="0"/>
          <w:numId w:val="1"/>
        </w:numPr>
        <w:spacing w:after="60" w:before="60"/>
      </w:pPr>
      <w:r>
        <w:rPr>
          <w:rFonts w:ascii="Calibri" w:cs="Calibri" w:eastAsia="Calibri" w:hAnsi="Calibri"/>
          <w:color w:val="374151"/>
          <w:sz w:val="21"/>
          <w:szCs w:val="21"/>
        </w:rPr>
        <w:t xml:space="preserve">Step 5: git push origin main</w:t>
      </w:r>
    </w:p>
    <w:p>
      <w:pPr>
        <w:pStyle w:val="ListParagraph"/>
        <w:numPr>
          <w:ilvl w:val="0"/>
          <w:numId w:val="1"/>
        </w:numPr>
        <w:spacing w:after="60" w:before="60"/>
      </w:pPr>
      <w:r>
        <w:rPr>
          <w:rFonts w:ascii="Calibri" w:cs="Calibri" w:eastAsia="Calibri" w:hAnsi="Calibri"/>
          <w:color w:val="374151"/>
          <w:sz w:val="21"/>
          <w:szCs w:val="21"/>
        </w:rPr>
        <w:t xml:space="preserve">Step 6: Update MCP server with current status — mark completed items DONE</w:t>
      </w:r>
    </w:p>
    <w:p>
      <w:pPr>
        <w:pStyle w:val="ListParagraph"/>
        <w:numPr>
          <w:ilvl w:val="0"/>
          <w:numId w:val="1"/>
        </w:numPr>
        <w:spacing w:after="60" w:before="60"/>
      </w:pPr>
      <w:r>
        <w:rPr>
          <w:rFonts w:ascii="Calibri" w:cs="Calibri" w:eastAsia="Calibri" w:hAnsi="Calibri"/>
          <w:color w:val="374151"/>
          <w:sz w:val="21"/>
          <w:szCs w:val="21"/>
        </w:rPr>
        <w:t xml:space="preserve">Step 7: Note any blockers encountered in MCP session_context</w:t>
      </w:r>
    </w:p>
    <w:p>
      <w:pPr>
        <w:pStyle w:val="Heading2"/>
        <w:pBdr>
          <w:bottom w:val="single" w:color="F59E0B" w:sz="4"/>
        </w:pBdr>
        <w:spacing w:after="120" w:before="360"/>
      </w:pPr>
      <w:r>
        <w:rPr>
          <w:rFonts w:ascii="Calibri" w:cs="Calibri" w:eastAsia="Calibri" w:hAnsi="Calibri"/>
          <w:b/>
          <w:bCs/>
          <w:color w:val="1A1A2E"/>
          <w:sz w:val="36"/>
          <w:szCs w:val="36"/>
        </w:rPr>
        <w:t xml:space="preserve">8.3 SOP 003 — Adding a New Database Table</w:t>
      </w:r>
    </w:p>
    <w:p>
      <w:pPr>
        <w:pStyle w:val="ListParagraph"/>
        <w:numPr>
          <w:ilvl w:val="0"/>
          <w:numId w:val="1"/>
        </w:numPr>
        <w:spacing w:after="60" w:before="60"/>
      </w:pPr>
      <w:r>
        <w:rPr>
          <w:rFonts w:ascii="Calibri" w:cs="Calibri" w:eastAsia="Calibri" w:hAnsi="Calibri"/>
          <w:color w:val="374151"/>
          <w:sz w:val="21"/>
          <w:szCs w:val="21"/>
        </w:rPr>
        <w:t xml:space="preserve">Create migration file: NNN_descriptive_name.sql (increment NNN from last migration)</w:t>
      </w:r>
    </w:p>
    <w:p>
      <w:pPr>
        <w:pStyle w:val="ListParagraph"/>
        <w:numPr>
          <w:ilvl w:val="0"/>
          <w:numId w:val="1"/>
        </w:numPr>
        <w:spacing w:after="60" w:before="60"/>
      </w:pPr>
      <w:r>
        <w:rPr>
          <w:rFonts w:ascii="Calibri" w:cs="Calibri" w:eastAsia="Calibri" w:hAnsi="Calibri"/>
          <w:color w:val="374151"/>
          <w:sz w:val="21"/>
          <w:szCs w:val="21"/>
        </w:rPr>
        <w:t xml:space="preserve">Include: CREATE TABLE IF NOT EXISTS (idempotent)</w:t>
      </w:r>
    </w:p>
    <w:p>
      <w:pPr>
        <w:pStyle w:val="ListParagraph"/>
        <w:numPr>
          <w:ilvl w:val="0"/>
          <w:numId w:val="1"/>
        </w:numPr>
        <w:spacing w:after="60" w:before="60"/>
      </w:pPr>
      <w:r>
        <w:rPr>
          <w:rFonts w:ascii="Calibri" w:cs="Calibri" w:eastAsia="Calibri" w:hAnsi="Calibri"/>
          <w:color w:val="374151"/>
          <w:sz w:val="21"/>
          <w:szCs w:val="21"/>
        </w:rPr>
        <w:t xml:space="preserve">Include: UUID public_id column for all external references</w:t>
      </w:r>
    </w:p>
    <w:p>
      <w:pPr>
        <w:pStyle w:val="ListParagraph"/>
        <w:numPr>
          <w:ilvl w:val="0"/>
          <w:numId w:val="1"/>
        </w:numPr>
        <w:spacing w:after="60" w:before="60"/>
      </w:pPr>
      <w:r>
        <w:rPr>
          <w:rFonts w:ascii="Calibri" w:cs="Calibri" w:eastAsia="Calibri" w:hAnsi="Calibri"/>
          <w:color w:val="374151"/>
          <w:sz w:val="21"/>
          <w:szCs w:val="21"/>
        </w:rPr>
        <w:t xml:space="preserve">Include: tenant_id BIGINT NOT NULL REFERENCES tenants(id) on all business tables</w:t>
      </w:r>
    </w:p>
    <w:p>
      <w:pPr>
        <w:pStyle w:val="ListParagraph"/>
        <w:numPr>
          <w:ilvl w:val="0"/>
          <w:numId w:val="1"/>
        </w:numPr>
        <w:spacing w:after="60" w:before="60"/>
      </w:pPr>
      <w:r>
        <w:rPr>
          <w:rFonts w:ascii="Calibri" w:cs="Calibri" w:eastAsia="Calibri" w:hAnsi="Calibri"/>
          <w:color w:val="374151"/>
          <w:sz w:val="21"/>
          <w:szCs w:val="21"/>
        </w:rPr>
        <w:t xml:space="preserve">Include: created_at TIMESTAMPTZ DEFAULT NOW() and updated_at on mutable tables</w:t>
      </w:r>
    </w:p>
    <w:p>
      <w:pPr>
        <w:pStyle w:val="ListParagraph"/>
        <w:numPr>
          <w:ilvl w:val="0"/>
          <w:numId w:val="1"/>
        </w:numPr>
        <w:spacing w:after="60" w:before="60"/>
      </w:pPr>
      <w:r>
        <w:rPr>
          <w:rFonts w:ascii="Calibri" w:cs="Calibri" w:eastAsia="Calibri" w:hAnsi="Calibri"/>
          <w:color w:val="374151"/>
          <w:sz w:val="21"/>
          <w:szCs w:val="21"/>
        </w:rPr>
        <w:t xml:space="preserve">Include: relevant indexes</w:t>
      </w:r>
    </w:p>
    <w:p>
      <w:pPr>
        <w:pStyle w:val="ListParagraph"/>
        <w:numPr>
          <w:ilvl w:val="0"/>
          <w:numId w:val="1"/>
        </w:numPr>
        <w:spacing w:after="60" w:before="60"/>
      </w:pPr>
      <w:r>
        <w:rPr>
          <w:rFonts w:ascii="Calibri" w:cs="Calibri" w:eastAsia="Calibri" w:hAnsi="Calibri"/>
          <w:color w:val="374151"/>
          <w:sz w:val="21"/>
          <w:szCs w:val="21"/>
        </w:rPr>
        <w:t xml:space="preserve">Apply migration: docker exec -i supplyxerp-db psql -U supplyxerp -d supplyxerp &lt; migration.sql</w:t>
      </w:r>
    </w:p>
    <w:p>
      <w:pPr>
        <w:pStyle w:val="ListParagraph"/>
        <w:numPr>
          <w:ilvl w:val="0"/>
          <w:numId w:val="1"/>
        </w:numPr>
        <w:spacing w:after="60" w:before="60"/>
      </w:pPr>
      <w:r>
        <w:rPr>
          <w:rFonts w:ascii="Calibri" w:cs="Calibri" w:eastAsia="Calibri" w:hAnsi="Calibri"/>
          <w:color w:val="374151"/>
          <w:sz w:val="21"/>
          <w:szCs w:val="21"/>
        </w:rPr>
        <w:t xml:space="preserve">Add sqlc queries: backend/internal/db/queries/tablename.sql</w:t>
      </w:r>
    </w:p>
    <w:p>
      <w:pPr>
        <w:pStyle w:val="ListParagraph"/>
        <w:numPr>
          <w:ilvl w:val="0"/>
          <w:numId w:val="1"/>
        </w:numPr>
        <w:spacing w:after="60" w:before="60"/>
      </w:pPr>
      <w:r>
        <w:rPr>
          <w:rFonts w:ascii="Calibri" w:cs="Calibri" w:eastAsia="Calibri" w:hAnsi="Calibri"/>
          <w:color w:val="374151"/>
          <w:sz w:val="21"/>
          <w:szCs w:val="21"/>
        </w:rPr>
        <w:t xml:space="preserve">Run sqlc generate: docker run --rm -v $(pwd):/src -w /src/backend sqlc/sqlc generate</w:t>
      </w:r>
    </w:p>
    <w:p>
      <w:pPr>
        <w:pStyle w:val="ListParagraph"/>
        <w:numPr>
          <w:ilvl w:val="0"/>
          <w:numId w:val="1"/>
        </w:numPr>
        <w:spacing w:after="60" w:before="60"/>
      </w:pPr>
      <w:r>
        <w:rPr>
          <w:rFonts w:ascii="Calibri" w:cs="Calibri" w:eastAsia="Calibri" w:hAnsi="Calibri"/>
          <w:color w:val="374151"/>
          <w:sz w:val="21"/>
          <w:szCs w:val="21"/>
        </w:rPr>
        <w:t xml:space="preserve">Run compile gate after sqlc generate</w:t>
      </w:r>
    </w:p>
    <w:p>
      <w:pPr>
        <w:pStyle w:val="Heading2"/>
        <w:pBdr>
          <w:bottom w:val="single" w:color="F59E0B" w:sz="4"/>
        </w:pBdr>
        <w:spacing w:after="120" w:before="360"/>
      </w:pPr>
      <w:r>
        <w:rPr>
          <w:rFonts w:ascii="Calibri" w:cs="Calibri" w:eastAsia="Calibri" w:hAnsi="Calibri"/>
          <w:b/>
          <w:bCs/>
          <w:color w:val="1A1A2E"/>
          <w:sz w:val="36"/>
          <w:szCs w:val="36"/>
        </w:rPr>
        <w:t xml:space="preserve">8.4 SOP 004 — Adding a New API Endpoint</w:t>
      </w:r>
    </w:p>
    <w:p>
      <w:pPr>
        <w:pStyle w:val="ListParagraph"/>
        <w:numPr>
          <w:ilvl w:val="0"/>
          <w:numId w:val="1"/>
        </w:numPr>
        <w:spacing w:after="60" w:before="60"/>
      </w:pPr>
      <w:r>
        <w:rPr>
          <w:rFonts w:ascii="Calibri" w:cs="Calibri" w:eastAsia="Calibri" w:hAnsi="Calibri"/>
          <w:color w:val="374151"/>
          <w:sz w:val="21"/>
          <w:szCs w:val="21"/>
        </w:rPr>
        <w:t xml:space="preserve">Check router.go — confirm the route does not already exist</w:t>
      </w:r>
    </w:p>
    <w:p>
      <w:pPr>
        <w:pStyle w:val="ListParagraph"/>
        <w:numPr>
          <w:ilvl w:val="0"/>
          <w:numId w:val="1"/>
        </w:numPr>
        <w:spacing w:after="60" w:before="60"/>
      </w:pPr>
      <w:r>
        <w:rPr>
          <w:rFonts w:ascii="Calibri" w:cs="Calibri" w:eastAsia="Calibri" w:hAnsi="Calibri"/>
          <w:color w:val="374151"/>
          <w:sz w:val="21"/>
          <w:szCs w:val="21"/>
        </w:rPr>
        <w:t xml:space="preserve">Check handlers/ — confirm a handler for this domain does not already exist</w:t>
      </w:r>
    </w:p>
    <w:p>
      <w:pPr>
        <w:pStyle w:val="ListParagraph"/>
        <w:numPr>
          <w:ilvl w:val="0"/>
          <w:numId w:val="1"/>
        </w:numPr>
        <w:spacing w:after="60" w:before="60"/>
      </w:pPr>
      <w:r>
        <w:rPr>
          <w:rFonts w:ascii="Calibri" w:cs="Calibri" w:eastAsia="Calibri" w:hAnsi="Calibri"/>
          <w:color w:val="374151"/>
          <w:sz w:val="21"/>
          <w:szCs w:val="21"/>
        </w:rPr>
        <w:t xml:space="preserve">Read an existing handler for the same domain — use the same helper functions</w:t>
      </w:r>
    </w:p>
    <w:p>
      <w:pPr>
        <w:pStyle w:val="ListParagraph"/>
        <w:numPr>
          <w:ilvl w:val="0"/>
          <w:numId w:val="1"/>
        </w:numPr>
        <w:spacing w:after="60" w:before="60"/>
      </w:pPr>
      <w:r>
        <w:rPr>
          <w:rFonts w:ascii="Calibri" w:cs="Calibri" w:eastAsia="Calibri" w:hAnsi="Calibri"/>
          <w:color w:val="374151"/>
          <w:sz w:val="21"/>
          <w:szCs w:val="21"/>
        </w:rPr>
        <w:t xml:space="preserve">Write the handler function — use mustTenantID(c), mustUserID(c) helpers</w:t>
      </w:r>
    </w:p>
    <w:p>
      <w:pPr>
        <w:pStyle w:val="ListParagraph"/>
        <w:numPr>
          <w:ilvl w:val="0"/>
          <w:numId w:val="1"/>
        </w:numPr>
        <w:spacing w:after="60" w:before="60"/>
      </w:pPr>
      <w:r>
        <w:rPr>
          <w:rFonts w:ascii="Calibri" w:cs="Calibri" w:eastAsia="Calibri" w:hAnsi="Calibri"/>
          <w:color w:val="374151"/>
          <w:sz w:val="21"/>
          <w:szCs w:val="21"/>
        </w:rPr>
        <w:t xml:space="preserve">Register the route in router.go</w:t>
      </w:r>
    </w:p>
    <w:p>
      <w:pPr>
        <w:pStyle w:val="ListParagraph"/>
        <w:numPr>
          <w:ilvl w:val="0"/>
          <w:numId w:val="1"/>
        </w:numPr>
        <w:spacing w:after="60" w:before="60"/>
      </w:pPr>
      <w:r>
        <w:rPr>
          <w:rFonts w:ascii="Calibri" w:cs="Calibri" w:eastAsia="Calibri" w:hAnsi="Calibri"/>
          <w:color w:val="374151"/>
          <w:sz w:val="21"/>
          <w:szCs w:val="21"/>
        </w:rPr>
        <w:t xml:space="preserve">Run compile gate</w:t>
      </w:r>
    </w:p>
    <w:p>
      <w:pPr>
        <w:pStyle w:val="ListParagraph"/>
        <w:numPr>
          <w:ilvl w:val="0"/>
          <w:numId w:val="1"/>
        </w:numPr>
        <w:spacing w:after="60" w:before="60"/>
      </w:pPr>
      <w:r>
        <w:rPr>
          <w:rFonts w:ascii="Calibri" w:cs="Calibri" w:eastAsia="Calibri" w:hAnsi="Calibri"/>
          <w:color w:val="374151"/>
          <w:sz w:val="21"/>
          <w:szCs w:val="21"/>
        </w:rPr>
        <w:t xml:space="preserve">Restart backend: docker compose restart backend &amp;&amp; sleep 6</w:t>
      </w:r>
    </w:p>
    <w:p>
      <w:pPr>
        <w:pStyle w:val="ListParagraph"/>
        <w:numPr>
          <w:ilvl w:val="0"/>
          <w:numId w:val="1"/>
        </w:numPr>
        <w:spacing w:after="60" w:before="60"/>
      </w:pPr>
      <w:r>
        <w:rPr>
          <w:rFonts w:ascii="Calibri" w:cs="Calibri" w:eastAsia="Calibri" w:hAnsi="Calibri"/>
          <w:color w:val="374151"/>
          <w:sz w:val="21"/>
          <w:szCs w:val="21"/>
        </w:rPr>
        <w:t xml:space="preserve">curl-test the endpoint with a valid JWT token</w:t>
      </w:r>
    </w:p>
    <w:p>
      <w:pPr>
        <w:pStyle w:val="Heading2"/>
        <w:pBdr>
          <w:bottom w:val="single" w:color="F59E0B" w:sz="4"/>
        </w:pBdr>
        <w:spacing w:after="120" w:before="360"/>
      </w:pPr>
      <w:r>
        <w:rPr>
          <w:rFonts w:ascii="Calibri" w:cs="Calibri" w:eastAsia="Calibri" w:hAnsi="Calibri"/>
          <w:b/>
          <w:bCs/>
          <w:color w:val="1A1A2E"/>
          <w:sz w:val="36"/>
          <w:szCs w:val="36"/>
        </w:rPr>
        <w:t xml:space="preserve">8.5 SOP 005 — Adding a New Frontend Page</w:t>
      </w:r>
    </w:p>
    <w:p>
      <w:pPr>
        <w:pStyle w:val="ListParagraph"/>
        <w:numPr>
          <w:ilvl w:val="0"/>
          <w:numId w:val="1"/>
        </w:numPr>
        <w:spacing w:after="60" w:before="60"/>
      </w:pPr>
      <w:r>
        <w:rPr>
          <w:rFonts w:ascii="Calibri" w:cs="Calibri" w:eastAsia="Calibri" w:hAnsi="Calibri"/>
          <w:color w:val="374151"/>
          <w:sz w:val="21"/>
          <w:szCs w:val="21"/>
        </w:rPr>
        <w:t xml:space="preserve">Check frontend/src/pages/ — confirm the page does not already exist</w:t>
      </w:r>
    </w:p>
    <w:p>
      <w:pPr>
        <w:pStyle w:val="ListParagraph"/>
        <w:numPr>
          <w:ilvl w:val="0"/>
          <w:numId w:val="1"/>
        </w:numPr>
        <w:spacing w:after="60" w:before="60"/>
      </w:pPr>
      <w:r>
        <w:rPr>
          <w:rFonts w:ascii="Calibri" w:cs="Calibri" w:eastAsia="Calibri" w:hAnsi="Calibri"/>
          <w:color w:val="374151"/>
          <w:sz w:val="21"/>
          <w:szCs w:val="21"/>
        </w:rPr>
        <w:t xml:space="preserve">Check Sidebar.tsx — confirm navigation entry does not already exist</w:t>
      </w:r>
    </w:p>
    <w:p>
      <w:pPr>
        <w:pStyle w:val="ListParagraph"/>
        <w:numPr>
          <w:ilvl w:val="0"/>
          <w:numId w:val="1"/>
        </w:numPr>
        <w:spacing w:after="60" w:before="60"/>
      </w:pPr>
      <w:r>
        <w:rPr>
          <w:rFonts w:ascii="Calibri" w:cs="Calibri" w:eastAsia="Calibri" w:hAnsi="Calibri"/>
          <w:color w:val="374151"/>
          <w:sz w:val="21"/>
          <w:szCs w:val="21"/>
        </w:rPr>
        <w:t xml:space="preserve">Check AppPage.tsx — confirm routing case does not already exist</w:t>
      </w:r>
    </w:p>
    <w:p>
      <w:pPr>
        <w:pStyle w:val="ListParagraph"/>
        <w:numPr>
          <w:ilvl w:val="0"/>
          <w:numId w:val="1"/>
        </w:numPr>
        <w:spacing w:after="60" w:before="60"/>
      </w:pPr>
      <w:r>
        <w:rPr>
          <w:rFonts w:ascii="Calibri" w:cs="Calibri" w:eastAsia="Calibri" w:hAnsi="Calibri"/>
          <w:color w:val="374151"/>
          <w:sz w:val="21"/>
          <w:szCs w:val="21"/>
        </w:rPr>
        <w:t xml:space="preserve">Create the page component in the correct section folder (MFG/, COM/, OPS/, Config/, SYSTEM/)</w:t>
      </w:r>
    </w:p>
    <w:p>
      <w:pPr>
        <w:pStyle w:val="ListParagraph"/>
        <w:numPr>
          <w:ilvl w:val="0"/>
          <w:numId w:val="1"/>
        </w:numPr>
        <w:spacing w:after="60" w:before="60"/>
      </w:pPr>
      <w:r>
        <w:rPr>
          <w:rFonts w:ascii="Calibri" w:cs="Calibri" w:eastAsia="Calibri" w:hAnsi="Calibri"/>
          <w:color w:val="374151"/>
          <w:sz w:val="21"/>
          <w:szCs w:val="21"/>
        </w:rPr>
        <w:t xml:space="preserve">Add navigation entry to Sidebar.tsx</w:t>
      </w:r>
    </w:p>
    <w:p>
      <w:pPr>
        <w:pStyle w:val="ListParagraph"/>
        <w:numPr>
          <w:ilvl w:val="0"/>
          <w:numId w:val="1"/>
        </w:numPr>
        <w:spacing w:after="60" w:before="60"/>
      </w:pPr>
      <w:r>
        <w:rPr>
          <w:rFonts w:ascii="Calibri" w:cs="Calibri" w:eastAsia="Calibri" w:hAnsi="Calibri"/>
          <w:color w:val="374151"/>
          <w:sz w:val="21"/>
          <w:szCs w:val="21"/>
        </w:rPr>
        <w:t xml:space="preserve">Add routing case to AppPage.tsx</w:t>
      </w:r>
    </w:p>
    <w:p>
      <w:pPr>
        <w:pStyle w:val="ListParagraph"/>
        <w:numPr>
          <w:ilvl w:val="0"/>
          <w:numId w:val="1"/>
        </w:numPr>
        <w:spacing w:after="60" w:before="60"/>
      </w:pPr>
      <w:r>
        <w:rPr>
          <w:rFonts w:ascii="Calibri" w:cs="Calibri" w:eastAsia="Calibri" w:hAnsi="Calibri"/>
          <w:color w:val="374151"/>
          <w:sz w:val="21"/>
          <w:szCs w:val="21"/>
        </w:rPr>
        <w:t xml:space="preserve">Run frontend compile gate: npx tsc -p tsconfig.app.json --noEmit</w:t>
      </w:r>
    </w:p>
    <w:p>
      <w:pPr>
        <w:pStyle w:val="ListParagraph"/>
        <w:numPr>
          <w:ilvl w:val="0"/>
          <w:numId w:val="1"/>
        </w:numPr>
        <w:spacing w:after="60" w:before="60"/>
      </w:pPr>
      <w:r>
        <w:rPr>
          <w:rFonts w:ascii="Calibri" w:cs="Calibri" w:eastAsia="Calibri" w:hAnsi="Calibri"/>
          <w:color w:val="374151"/>
          <w:sz w:val="21"/>
          <w:szCs w:val="21"/>
        </w:rPr>
        <w:t xml:space="preserve">Test in browser — verify page loads, API calls succeed, no console errors</w:t>
      </w:r>
    </w:p>
    <w:p>
      <w:r>
        <w:br w:type="page"/>
      </w:r>
    </w:p>
    <w:p>
      <w:pPr>
        <w:pStyle w:val="Heading1"/>
        <w:spacing w:after="160" w:before="480"/>
      </w:pPr>
      <w:r>
        <w:rPr>
          <w:rFonts w:ascii="Calibri" w:cs="Calibri" w:eastAsia="Calibri" w:hAnsi="Calibri"/>
          <w:b/>
          <w:bCs/>
          <w:color w:val="1A1A2E"/>
          <w:sz w:val="52"/>
          <w:szCs w:val="52"/>
        </w:rPr>
        <w:t xml:space="preserve">9. Known Issues &amp; Technical Debt Register</w:t>
      </w:r>
    </w:p>
    <w:p>
      <w:pPr>
        <w:pStyle w:val="Heading2"/>
        <w:pBdr>
          <w:bottom w:val="single" w:color="F59E0B" w:sz="4"/>
        </w:pBdr>
        <w:spacing w:after="120" w:before="360"/>
      </w:pPr>
      <w:r>
        <w:rPr>
          <w:rFonts w:ascii="Calibri" w:cs="Calibri" w:eastAsia="Calibri" w:hAnsi="Calibri"/>
          <w:b/>
          <w:bCs/>
          <w:color w:val="1A1A2E"/>
          <w:sz w:val="36"/>
          <w:szCs w:val="36"/>
        </w:rPr>
        <w:t xml:space="preserve">9.1 Active Bugs (Must Fix Before Client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color="1A1A2E" w:val="solid"/>
          </w:tcPr>
          <w:p>
            <w:r>
              <w:rPr>
                <w:rFonts w:ascii="Calibri" w:cs="Calibri" w:eastAsia="Calibri" w:hAnsi="Calibri"/>
                <w:b/>
                <w:bCs/>
                <w:color w:val="FFFFFF"/>
                <w:sz w:val="19"/>
                <w:szCs w:val="19"/>
              </w:rPr>
              <w:t xml:space="preserve">Issue</w:t>
            </w:r>
          </w:p>
        </w:tc>
        <w:tc>
          <w:tcPr>
            <w:tcW w:type="dxa" w:w="3200"/>
            <w:shd w:color="1A1A2E" w:val="solid"/>
          </w:tcPr>
          <w:p>
            <w:r>
              <w:rPr>
                <w:rFonts w:ascii="Calibri" w:cs="Calibri" w:eastAsia="Calibri" w:hAnsi="Calibri"/>
                <w:b/>
                <w:bCs/>
                <w:color w:val="FFFFFF"/>
                <w:sz w:val="19"/>
                <w:szCs w:val="19"/>
              </w:rPr>
              <w:t xml:space="preserve">Impact</w:t>
            </w:r>
          </w:p>
        </w:tc>
        <w:tc>
          <w:tcPr>
            <w:tcW w:type="dxa" w:w="3000"/>
            <w:shd w:color="1A1A2E" w:val="solid"/>
          </w:tcPr>
          <w:p>
            <w:r>
              <w:rPr>
                <w:rFonts w:ascii="Calibri" w:cs="Calibri" w:eastAsia="Calibri" w:hAnsi="Calibri"/>
                <w:b/>
                <w:bCs/>
                <w:color w:val="FFFFFF"/>
                <w:sz w:val="19"/>
                <w:szCs w:val="19"/>
              </w:rPr>
              <w:t xml:space="preserve">Fix Required</w:t>
            </w:r>
          </w:p>
        </w:tc>
      </w:tr>
      <w:tr>
        <w:trPr>
          <w:tblHeader w:val="false"/>
        </w:trPr>
        <w:tc>
          <w:tcPr>
            <w:tcW w:type="dxa" w:w="2800"/>
          </w:tcPr>
          <w:p>
            <w:r>
              <w:rPr>
                <w:rFonts w:ascii="Calibri" w:cs="Calibri" w:eastAsia="Calibri" w:hAnsi="Calibri"/>
                <w:b w:val="false"/>
                <w:bCs w:val="false"/>
                <w:color w:val="374151"/>
                <w:sz w:val="19"/>
                <w:szCs w:val="19"/>
              </w:rPr>
              <w:t xml:space="preserve">RFQ duplicate</w:t>
            </w:r>
          </w:p>
        </w:tc>
        <w:tc>
          <w:tcPr>
            <w:tcW w:type="dxa" w:w="3200"/>
          </w:tcPr>
          <w:p>
            <w:r>
              <w:rPr>
                <w:rFonts w:ascii="Calibri" w:cs="Calibri" w:eastAsia="Calibri" w:hAnsi="Calibri"/>
                <w:b w:val="false"/>
                <w:bCs w:val="false"/>
                <w:color w:val="374151"/>
                <w:sz w:val="19"/>
                <w:szCs w:val="19"/>
              </w:rPr>
              <w:t xml:space="preserve">Confusing UX — two entry points for same function</w:t>
            </w:r>
          </w:p>
        </w:tc>
        <w:tc>
          <w:tcPr>
            <w:tcW w:type="dxa" w:w="3000"/>
          </w:tcPr>
          <w:p>
            <w:r>
              <w:rPr>
                <w:rFonts w:ascii="Calibri" w:cs="Calibri" w:eastAsia="Calibri" w:hAnsi="Calibri"/>
                <w:b w:val="false"/>
                <w:bCs w:val="false"/>
                <w:color w:val="374151"/>
                <w:sz w:val="19"/>
                <w:szCs w:val="19"/>
              </w:rPr>
              <w:t xml:space="preserve">Delete RFQManagement.tsx. Remove sidebar entry. Keep MaterialHub RFQ tab.</w:t>
            </w:r>
          </w:p>
        </w:tc>
      </w:tr>
      <w:tr>
        <w:trPr>
          <w:tblHeader w:val="false"/>
        </w:trPr>
        <w:tc>
          <w:tcPr>
            <w:tcW w:type="dxa" w:w="2800"/>
          </w:tcPr>
          <w:p>
            <w:r>
              <w:rPr>
                <w:rFonts w:ascii="Calibri" w:cs="Calibri" w:eastAsia="Calibri" w:hAnsi="Calibri"/>
                <w:b w:val="false"/>
                <w:bCs w:val="false"/>
                <w:color w:val="374151"/>
                <w:sz w:val="19"/>
                <w:szCs w:val="19"/>
              </w:rPr>
              <w:t xml:space="preserve">Price formula currency USD</w:t>
            </w:r>
          </w:p>
        </w:tc>
        <w:tc>
          <w:tcPr>
            <w:tcW w:type="dxa" w:w="3200"/>
          </w:tcPr>
          <w:p>
            <w:r>
              <w:rPr>
                <w:rFonts w:ascii="Calibri" w:cs="Calibri" w:eastAsia="Calibri" w:hAnsi="Calibri"/>
                <w:b w:val="false"/>
                <w:bCs w:val="false"/>
                <w:color w:val="374151"/>
                <w:sz w:val="19"/>
                <w:szCs w:val="19"/>
              </w:rPr>
              <w:t xml:space="preserve">Formulas seeded with USD — system is GBP</w:t>
            </w:r>
          </w:p>
        </w:tc>
        <w:tc>
          <w:tcPr>
            <w:tcW w:type="dxa" w:w="3000"/>
          </w:tcPr>
          <w:p>
            <w:r>
              <w:rPr>
                <w:rFonts w:ascii="Calibri" w:cs="Calibri" w:eastAsia="Calibri" w:hAnsi="Calibri"/>
                <w:b w:val="false"/>
                <w:bCs w:val="false"/>
                <w:color w:val="374151"/>
                <w:sz w:val="19"/>
                <w:szCs w:val="19"/>
              </w:rPr>
              <w:t xml:space="preserve">UPDATE price_rules SET currency = 'GBP' WHERE currency = 'USD'</w:t>
            </w:r>
          </w:p>
        </w:tc>
      </w:tr>
      <w:tr>
        <w:trPr>
          <w:tblHeader w:val="false"/>
        </w:trPr>
        <w:tc>
          <w:tcPr>
            <w:tcW w:type="dxa" w:w="2800"/>
          </w:tcPr>
          <w:p>
            <w:r>
              <w:rPr>
                <w:rFonts w:ascii="Calibri" w:cs="Calibri" w:eastAsia="Calibri" w:hAnsi="Calibri"/>
                <w:b w:val="false"/>
                <w:bCs w:val="false"/>
                <w:color w:val="374151"/>
                <w:sz w:val="19"/>
                <w:szCs w:val="19"/>
              </w:rPr>
              <w:t xml:space="preserve">Module Config saves to localStorage</w:t>
            </w:r>
          </w:p>
        </w:tc>
        <w:tc>
          <w:tcPr>
            <w:tcW w:type="dxa" w:w="3200"/>
          </w:tcPr>
          <w:p>
            <w:r>
              <w:rPr>
                <w:rFonts w:ascii="Calibri" w:cs="Calibri" w:eastAsia="Calibri" w:hAnsi="Calibri"/>
                <w:b w:val="false"/>
                <w:bCs w:val="false"/>
                <w:color w:val="374151"/>
                <w:sz w:val="19"/>
                <w:szCs w:val="19"/>
              </w:rPr>
              <w:t xml:space="preserve">Capability settings lost on new browser / incognito</w:t>
            </w:r>
          </w:p>
        </w:tc>
        <w:tc>
          <w:tcPr>
            <w:tcW w:type="dxa" w:w="3000"/>
          </w:tcPr>
          <w:p>
            <w:r>
              <w:rPr>
                <w:rFonts w:ascii="Calibri" w:cs="Calibri" w:eastAsia="Calibri" w:hAnsi="Calibri"/>
                <w:b w:val="false"/>
                <w:bCs w:val="false"/>
                <w:color w:val="374151"/>
                <w:sz w:val="19"/>
                <w:szCs w:val="19"/>
              </w:rPr>
              <w:t xml:space="preserve">POST /api/config/modules endpoint must save to tenant_config in database</w:t>
            </w:r>
          </w:p>
        </w:tc>
      </w:tr>
      <w:tr>
        <w:trPr>
          <w:tblHeader w:val="false"/>
        </w:trPr>
        <w:tc>
          <w:tcPr>
            <w:tcW w:type="dxa" w:w="2800"/>
          </w:tcPr>
          <w:p>
            <w:r>
              <w:rPr>
                <w:rFonts w:ascii="Calibri" w:cs="Calibri" w:eastAsia="Calibri" w:hAnsi="Calibri"/>
                <w:b w:val="false"/>
                <w:bCs w:val="false"/>
                <w:color w:val="374151"/>
                <w:sz w:val="19"/>
                <w:szCs w:val="19"/>
              </w:rPr>
              <w:t xml:space="preserve">Org Structure blank screen</w:t>
            </w:r>
          </w:p>
        </w:tc>
        <w:tc>
          <w:tcPr>
            <w:tcW w:type="dxa" w:w="3200"/>
          </w:tcPr>
          <w:p>
            <w:r>
              <w:rPr>
                <w:rFonts w:ascii="Calibri" w:cs="Calibri" w:eastAsia="Calibri" w:hAnsi="Calibri"/>
                <w:b w:val="false"/>
                <w:bCs w:val="false"/>
                <w:color w:val="374151"/>
                <w:sz w:val="19"/>
                <w:szCs w:val="19"/>
              </w:rPr>
              <w:t xml:space="preserve">Config section missing key page</w:t>
            </w:r>
          </w:p>
        </w:tc>
        <w:tc>
          <w:tcPr>
            <w:tcW w:type="dxa" w:w="3000"/>
          </w:tcPr>
          <w:p>
            <w:r>
              <w:rPr>
                <w:rFonts w:ascii="Calibri" w:cs="Calibri" w:eastAsia="Calibri" w:hAnsi="Calibri"/>
                <w:b w:val="false"/>
                <w:bCs w:val="false"/>
                <w:color w:val="374151"/>
                <w:sz w:val="19"/>
                <w:szCs w:val="19"/>
              </w:rPr>
              <w:t xml:space="preserve">Debug: data exists (API returns 200) — likely frontend data mapping issue</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9.2 Planned Technical Debt (Phase 2)</w:t>
      </w:r>
    </w:p>
    <w:p>
      <w:pPr>
        <w:pStyle w:val="ListParagraph"/>
        <w:numPr>
          <w:ilvl w:val="0"/>
          <w:numId w:val="1"/>
        </w:numPr>
        <w:spacing w:after="60" w:before="60"/>
      </w:pPr>
      <w:r>
        <w:rPr>
          <w:rFonts w:ascii="Calibri" w:cs="Calibri" w:eastAsia="Calibri" w:hAnsi="Calibri"/>
          <w:color w:val="374151"/>
          <w:sz w:val="21"/>
          <w:szCs w:val="21"/>
        </w:rPr>
        <w:t xml:space="preserve">ClickHouse integration — operational reports currently run on PostgreSQL (acceptable for Phase 1)</w:t>
      </w:r>
    </w:p>
    <w:p>
      <w:pPr>
        <w:pStyle w:val="ListParagraph"/>
        <w:numPr>
          <w:ilvl w:val="0"/>
          <w:numId w:val="1"/>
        </w:numPr>
        <w:spacing w:after="60" w:before="60"/>
      </w:pPr>
      <w:r>
        <w:rPr>
          <w:rFonts w:ascii="Calibri" w:cs="Calibri" w:eastAsia="Calibri" w:hAnsi="Calibri"/>
          <w:color w:val="374151"/>
          <w:sz w:val="21"/>
          <w:szCs w:val="21"/>
        </w:rPr>
        <w:t xml:space="preserve">NATS JetStream — cross-module events currently use goroutines (acceptable for Phase 1)</w:t>
      </w:r>
    </w:p>
    <w:p>
      <w:pPr>
        <w:pStyle w:val="ListParagraph"/>
        <w:numPr>
          <w:ilvl w:val="0"/>
          <w:numId w:val="1"/>
        </w:numPr>
        <w:spacing w:after="60" w:before="60"/>
      </w:pPr>
      <w:r>
        <w:rPr>
          <w:rFonts w:ascii="Calibri" w:cs="Calibri" w:eastAsia="Calibri" w:hAnsi="Calibri"/>
          <w:color w:val="374151"/>
          <w:sz w:val="21"/>
          <w:szCs w:val="21"/>
        </w:rPr>
        <w:t xml:space="preserve">Storybook stories — only Button and Badge have stories. All components need stories.</w:t>
      </w:r>
    </w:p>
    <w:p>
      <w:pPr>
        <w:pStyle w:val="ListParagraph"/>
        <w:numPr>
          <w:ilvl w:val="0"/>
          <w:numId w:val="1"/>
        </w:numPr>
        <w:spacing w:after="60" w:before="60"/>
      </w:pPr>
      <w:r>
        <w:rPr>
          <w:rFonts w:ascii="Calibri" w:cs="Calibri" w:eastAsia="Calibri" w:hAnsi="Calibri"/>
          <w:color w:val="374151"/>
          <w:sz w:val="21"/>
          <w:szCs w:val="21"/>
        </w:rPr>
        <w:t xml:space="preserve">i18n / RTL support — English only currently</w:t>
      </w:r>
    </w:p>
    <w:p>
      <w:pPr>
        <w:pStyle w:val="ListParagraph"/>
        <w:numPr>
          <w:ilvl w:val="0"/>
          <w:numId w:val="1"/>
        </w:numPr>
        <w:spacing w:after="60" w:before="60"/>
      </w:pPr>
      <w:r>
        <w:rPr>
          <w:rFonts w:ascii="Calibri" w:cs="Calibri" w:eastAsia="Calibri" w:hAnsi="Calibri"/>
          <w:color w:val="374151"/>
          <w:sz w:val="21"/>
          <w:szCs w:val="21"/>
        </w:rPr>
        <w:t xml:space="preserve">Module Federation frontend split — all code in one bundle currently</w:t>
      </w:r>
    </w:p>
    <w:p>
      <w:pPr>
        <w:pStyle w:val="Heading2"/>
        <w:pBdr>
          <w:bottom w:val="single" w:color="F59E0B" w:sz="4"/>
        </w:pBdr>
        <w:spacing w:after="120" w:before="360"/>
      </w:pPr>
      <w:r>
        <w:rPr>
          <w:rFonts w:ascii="Calibri" w:cs="Calibri" w:eastAsia="Calibri" w:hAnsi="Calibri"/>
          <w:b/>
          <w:bCs/>
          <w:color w:val="1A1A2E"/>
          <w:sz w:val="36"/>
          <w:szCs w:val="36"/>
        </w:rPr>
        <w:t xml:space="preserve">9.3 Items Verified Working (Do Not Regress)</w:t>
      </w:r>
    </w:p>
    <w:p>
      <w:pPr>
        <w:pStyle w:val="ListParagraph"/>
        <w:numPr>
          <w:ilvl w:val="0"/>
          <w:numId w:val="1"/>
        </w:numPr>
        <w:spacing w:after="60" w:before="60"/>
      </w:pPr>
      <w:r>
        <w:rPr>
          <w:rFonts w:ascii="Calibri" w:cs="Calibri" w:eastAsia="Calibri" w:hAnsi="Calibri"/>
          <w:color w:val="374151"/>
          <w:sz w:val="21"/>
          <w:szCs w:val="21"/>
        </w:rPr>
        <w:t xml:space="preserve">DealFlow: SO created, confirmed, shipment triggered — full lifecycle tested</w:t>
      </w:r>
    </w:p>
    <w:p>
      <w:pPr>
        <w:pStyle w:val="ListParagraph"/>
        <w:numPr>
          <w:ilvl w:val="0"/>
          <w:numId w:val="1"/>
        </w:numPr>
        <w:spacing w:after="60" w:before="60"/>
      </w:pPr>
      <w:r>
        <w:rPr>
          <w:rFonts w:ascii="Calibri" w:cs="Calibri" w:eastAsia="Calibri" w:hAnsi="Calibri"/>
          <w:color w:val="374151"/>
          <w:sz w:val="21"/>
          <w:szCs w:val="21"/>
        </w:rPr>
        <w:t xml:space="preserve">RouteRunner: SHP-2026-00001 DELIVERED — full lifecycle with timestamps</w:t>
      </w:r>
    </w:p>
    <w:p>
      <w:pPr>
        <w:pStyle w:val="ListParagraph"/>
        <w:numPr>
          <w:ilvl w:val="0"/>
          <w:numId w:val="1"/>
        </w:numPr>
        <w:spacing w:after="60" w:before="60"/>
      </w:pPr>
      <w:r>
        <w:rPr>
          <w:rFonts w:ascii="Calibri" w:cs="Calibri" w:eastAsia="Calibri" w:hAnsi="Calibri"/>
          <w:color w:val="374151"/>
          <w:sz w:val="21"/>
          <w:szCs w:val="21"/>
        </w:rPr>
        <w:t xml:space="preserve">Vendor Scorecard: auto_score=41.0 calculated correctly from events</w:t>
      </w:r>
    </w:p>
    <w:p>
      <w:pPr>
        <w:pStyle w:val="ListParagraph"/>
        <w:numPr>
          <w:ilvl w:val="0"/>
          <w:numId w:val="1"/>
        </w:numPr>
        <w:spacing w:after="60" w:before="60"/>
      </w:pPr>
      <w:r>
        <w:rPr>
          <w:rFonts w:ascii="Calibri" w:cs="Calibri" w:eastAsia="Calibri" w:hAnsi="Calibri"/>
          <w:color w:val="374151"/>
          <w:sz w:val="21"/>
          <w:szCs w:val="21"/>
        </w:rPr>
        <w:t xml:space="preserve">Build Order: DRAFT→RELEASED→IN_PROGRESS→COMPLETED — all timestamps populated</w:t>
      </w:r>
    </w:p>
    <w:p>
      <w:pPr>
        <w:pStyle w:val="ListParagraph"/>
        <w:numPr>
          <w:ilvl w:val="0"/>
          <w:numId w:val="1"/>
        </w:numPr>
        <w:spacing w:after="60" w:before="60"/>
      </w:pPr>
      <w:r>
        <w:rPr>
          <w:rFonts w:ascii="Calibri" w:cs="Calibri" w:eastAsia="Calibri" w:hAnsi="Calibri"/>
          <w:color w:val="374151"/>
          <w:sz w:val="21"/>
          <w:szCs w:val="21"/>
        </w:rPr>
        <w:t xml:space="preserve">Quality Gate: CONDITIONAL result auto-updates vendor scorecard</w:t>
      </w:r>
    </w:p>
    <w:p>
      <w:pPr>
        <w:pStyle w:val="ListParagraph"/>
        <w:numPr>
          <w:ilvl w:val="0"/>
          <w:numId w:val="1"/>
        </w:numPr>
        <w:spacing w:after="60" w:before="60"/>
      </w:pPr>
      <w:r>
        <w:rPr>
          <w:rFonts w:ascii="Calibri" w:cs="Calibri" w:eastAsia="Calibri" w:hAnsi="Calibri"/>
          <w:color w:val="374151"/>
          <w:sz w:val="21"/>
          <w:szCs w:val="21"/>
        </w:rPr>
        <w:t xml:space="preserve">Price Formula: FIXED 50 units = 625.00, COST_PLUS 100 units cost=10 = 1000.00</w:t>
      </w:r>
    </w:p>
    <w:p>
      <w:pPr>
        <w:pStyle w:val="ListParagraph"/>
        <w:numPr>
          <w:ilvl w:val="0"/>
          <w:numId w:val="1"/>
        </w:numPr>
        <w:spacing w:after="60" w:before="60"/>
      </w:pPr>
      <w:r>
        <w:rPr>
          <w:rFonts w:ascii="Calibri" w:cs="Calibri" w:eastAsia="Calibri" w:hAnsi="Calibri"/>
          <w:color w:val="374151"/>
          <w:sz w:val="21"/>
          <w:szCs w:val="21"/>
        </w:rPr>
        <w:t xml:space="preserve">Session persistence: HTTP-only cookie refresh endpoint working</w:t>
      </w:r>
    </w:p>
    <w:p>
      <w:pPr>
        <w:pStyle w:val="ListParagraph"/>
        <w:numPr>
          <w:ilvl w:val="0"/>
          <w:numId w:val="1"/>
        </w:numPr>
        <w:spacing w:after="60" w:before="60"/>
      </w:pPr>
      <w:r>
        <w:rPr>
          <w:rFonts w:ascii="Calibri" w:cs="Calibri" w:eastAsia="Calibri" w:hAnsi="Calibri"/>
          <w:color w:val="374151"/>
          <w:sz w:val="21"/>
          <w:szCs w:val="21"/>
        </w:rPr>
        <w:t xml:space="preserve">Dispatch engine: TriggerDispatch fires goroutine, logs to dispatch_logs table</w:t>
      </w:r>
    </w:p>
    <w:p>
      <w:r>
        <w:br w:type="page"/>
      </w:r>
    </w:p>
    <w:p>
      <w:pPr>
        <w:pStyle w:val="Heading1"/>
        <w:spacing w:after="160" w:before="480"/>
      </w:pPr>
      <w:r>
        <w:rPr>
          <w:rFonts w:ascii="Calibri" w:cs="Calibri" w:eastAsia="Calibri" w:hAnsi="Calibri"/>
          <w:b/>
          <w:bCs/>
          <w:color w:val="1A1A2E"/>
          <w:sz w:val="52"/>
          <w:szCs w:val="52"/>
        </w:rPr>
        <w:t xml:space="preserve">10. Claude Code — Getting Started</w:t>
      </w:r>
    </w:p>
    <w:p>
      <w:pPr>
        <w:pStyle w:val="Heading2"/>
        <w:pBdr>
          <w:bottom w:val="single" w:color="F59E0B" w:sz="4"/>
        </w:pBdr>
        <w:spacing w:after="120" w:before="360"/>
      </w:pPr>
      <w:r>
        <w:rPr>
          <w:rFonts w:ascii="Calibri" w:cs="Calibri" w:eastAsia="Calibri" w:hAnsi="Calibri"/>
          <w:b/>
          <w:bCs/>
          <w:color w:val="1A1A2E"/>
          <w:sz w:val="36"/>
          <w:szCs w:val="36"/>
        </w:rPr>
        <w:t xml:space="preserve">10.1 What Claude Code Is</w:t>
      </w:r>
    </w:p>
    <w:p>
      <w:pPr>
        <w:spacing w:after="80" w:before="80"/>
      </w:pPr>
      <w:r>
        <w:rPr>
          <w:rFonts w:ascii="Calibri" w:cs="Calibri" w:eastAsia="Calibri" w:hAnsi="Calibri"/>
          <w:b w:val="false"/>
          <w:bCs w:val="false"/>
          <w:i w:val="false"/>
          <w:iCs w:val="false"/>
          <w:color w:val="374151"/>
          <w:sz w:val="22"/>
          <w:szCs w:val="22"/>
        </w:rPr>
        <w:t xml:space="preserve">Claude Code is Claude running directly in your terminal with access to your file system, bash commands, and git. Unlike Antigravity (Gemini), Claude Code uses Claude Sonnet — the same model you are talking to right now in this chat.</w:t>
      </w:r>
    </w:p>
    <w:p>
      <w:pPr>
        <w:spacing w:after="80" w:before="80"/>
      </w:pPr>
      <w:r>
        <w:rPr>
          <w:rFonts w:ascii="Calibri" w:cs="Calibri" w:eastAsia="Calibri" w:hAnsi="Calibri"/>
          <w:b w:val="false"/>
          <w:bCs w:val="false"/>
          <w:i w:val="false"/>
          <w:iCs w:val="false"/>
          <w:color w:val="374151"/>
          <w:sz w:val="22"/>
          <w:szCs w:val="22"/>
        </w:rPr>
        <w:t xml:space="preserve">You already installed it. Your screenshot shows it running at ~/supplyxerp with Sonnet 4.6 and your organisation.</w:t>
      </w:r>
    </w:p>
    <w:p>
      <w:pPr>
        <w:pStyle w:val="Heading2"/>
        <w:pBdr>
          <w:bottom w:val="single" w:color="F59E0B" w:sz="4"/>
        </w:pBdr>
        <w:spacing w:after="120" w:before="360"/>
      </w:pPr>
      <w:r>
        <w:rPr>
          <w:rFonts w:ascii="Calibri" w:cs="Calibri" w:eastAsia="Calibri" w:hAnsi="Calibri"/>
          <w:b/>
          <w:bCs/>
          <w:color w:val="1A1A2E"/>
          <w:sz w:val="36"/>
          <w:szCs w:val="36"/>
        </w:rPr>
        <w:t xml:space="preserve">10.2 First Session Checklist</w:t>
      </w:r>
    </w:p>
    <w:p>
      <w:pPr>
        <w:shd w:color="1E293B" w:val="solid"/>
        <w:spacing w:after="80" w:before="80"/>
      </w:pPr>
      <w:r>
        <w:rPr>
          <w:rFonts w:ascii="Courier New" w:cs="Courier New" w:eastAsia="Courier New" w:hAnsi="Courier New"/>
          <w:color w:val="E2E8F0"/>
          <w:sz w:val="19"/>
          <w:szCs w:val="19"/>
        </w:rPr>
        <w:t xml:space="preserve">cd ~/supplyxerp</w:t>
      </w:r>
    </w:p>
    <w:p>
      <w:pPr>
        <w:shd w:color="1E293B" w:val="solid"/>
        <w:spacing w:after="80" w:before="80"/>
      </w:pPr>
      <w:r>
        <w:rPr>
          <w:rFonts w:ascii="Courier New" w:cs="Courier New" w:eastAsia="Courier New" w:hAnsi="Courier New"/>
          <w:color w:val="E2E8F0"/>
          <w:sz w:val="19"/>
          <w:szCs w:val="19"/>
        </w:rPr>
        <w:t xml:space="preserve">claude</w:t>
      </w:r>
    </w:p>
    <w:p>
      <w:pPr>
        <w:spacing w:after="80" w:before="80"/>
      </w:pPr>
      <w:r>
        <w:rPr>
          <w:rFonts w:ascii="Calibri" w:cs="Calibri" w:eastAsia="Calibri" w:hAnsi="Calibri"/>
          <w:b w:val="false"/>
          <w:bCs w:val="false"/>
          <w:i w:val="false"/>
          <w:iCs w:val="false"/>
          <w:color w:val="374151"/>
          <w:sz w:val="22"/>
          <w:szCs w:val="22"/>
        </w:rPr>
        <w:t xml:space="preserve">Your first message to Claude Code should always be:</w:t>
      </w:r>
    </w:p>
    <w:p>
      <w:pPr>
        <w:shd w:color="1E293B" w:val="solid"/>
        <w:spacing w:after="80" w:before="80"/>
      </w:pPr>
      <w:r>
        <w:rPr>
          <w:rFonts w:ascii="Courier New" w:cs="Courier New" w:eastAsia="Courier New" w:hAnsi="Courier New"/>
          <w:color w:val="E2E8F0"/>
          <w:sz w:val="19"/>
          <w:szCs w:val="19"/>
        </w:rPr>
        <w:t xml:space="preserve">&gt; Read mcp/erplite_mcp_updated.py and tell me the current project status and blockers.</w:t>
      </w:r>
    </w:p>
    <w:p>
      <w:pPr>
        <w:spacing w:after="80" w:before="80"/>
      </w:pPr>
      <w:r>
        <w:rPr>
          <w:rFonts w:ascii="Calibri" w:cs="Calibri" w:eastAsia="Calibri" w:hAnsi="Calibri"/>
          <w:b w:val="false"/>
          <w:bCs w:val="false"/>
          <w:i w:val="false"/>
          <w:iCs w:val="false"/>
          <w:color w:val="374151"/>
          <w:sz w:val="22"/>
          <w:szCs w:val="22"/>
        </w:rPr>
        <w:t xml:space="preserve">Claude Code will read the file directly and give you a current status briefing without needing the MCP server to be running.</w:t>
      </w:r>
    </w:p>
    <w:p>
      <w:pPr>
        <w:pStyle w:val="Heading2"/>
        <w:pBdr>
          <w:bottom w:val="single" w:color="F59E0B" w:sz="4"/>
        </w:pBdr>
        <w:spacing w:after="120" w:before="360"/>
      </w:pPr>
      <w:r>
        <w:rPr>
          <w:rFonts w:ascii="Calibri" w:cs="Calibri" w:eastAsia="Calibri" w:hAnsi="Calibri"/>
          <w:b/>
          <w:bCs/>
          <w:color w:val="1A1A2E"/>
          <w:sz w:val="36"/>
          <w:szCs w:val="36"/>
        </w:rPr>
        <w:t xml:space="preserve">10.3 Key Differences From Antigravity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Feature</w:t>
            </w:r>
          </w:p>
        </w:tc>
        <w:tc>
          <w:tcPr>
            <w:tcW w:type="dxa" w:w="6500"/>
            <w:shd w:color="1A1A2E" w:val="solid"/>
            <w:vAlign w:val="center"/>
          </w:tcPr>
          <w:p>
            <w:r>
              <w:rPr>
                <w:rFonts w:ascii="Calibri" w:cs="Calibri" w:eastAsia="Calibri" w:hAnsi="Calibri"/>
                <w:b/>
                <w:bCs/>
                <w:color w:val="FFFFFF"/>
                <w:sz w:val="20"/>
                <w:szCs w:val="20"/>
              </w:rPr>
              <w:t xml:space="preserve">Claude Code vs Antigravity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AI model</w:t>
            </w:r>
          </w:p>
        </w:tc>
        <w:tc>
          <w:tcPr>
            <w:tcW w:type="dxa" w:w="6500"/>
            <w:vAlign w:val="center"/>
          </w:tcPr>
          <w:p>
            <w:r>
              <w:rPr>
                <w:rFonts w:ascii="Calibri" w:cs="Calibri" w:eastAsia="Calibri" w:hAnsi="Calibri"/>
                <w:b w:val="false"/>
                <w:bCs w:val="false"/>
                <w:color w:val="374151"/>
                <w:sz w:val="20"/>
                <w:szCs w:val="20"/>
              </w:rPr>
              <w:t xml:space="preserve">Claude Sonnet 4.6 (this conversation's model)</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Context window</w:t>
            </w:r>
          </w:p>
        </w:tc>
        <w:tc>
          <w:tcPr>
            <w:tcW w:type="dxa" w:w="6500"/>
            <w:vAlign w:val="center"/>
          </w:tcPr>
          <w:p>
            <w:r>
              <w:rPr>
                <w:rFonts w:ascii="Calibri" w:cs="Calibri" w:eastAsia="Calibri" w:hAnsi="Calibri"/>
                <w:b w:val="false"/>
                <w:bCs w:val="false"/>
                <w:color w:val="374151"/>
                <w:sz w:val="20"/>
                <w:szCs w:val="20"/>
              </w:rPr>
              <w:t xml:space="preserve">Larger — can hold more code in memory at once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Interruption</w:t>
            </w:r>
          </w:p>
        </w:tc>
        <w:tc>
          <w:tcPr>
            <w:tcW w:type="dxa" w:w="6500"/>
            <w:vAlign w:val="center"/>
          </w:tcPr>
          <w:p>
            <w:r>
              <w:rPr>
                <w:rFonts w:ascii="Calibri" w:cs="Calibri" w:eastAsia="Calibri" w:hAnsi="Calibri"/>
                <w:b w:val="false"/>
                <w:bCs w:val="false"/>
                <w:color w:val="374151"/>
                <w:sz w:val="20"/>
                <w:szCs w:val="20"/>
              </w:rPr>
              <w:t xml:space="preserve">You can ask questions mid-task and it will pause and answer</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File access</w:t>
            </w:r>
          </w:p>
        </w:tc>
        <w:tc>
          <w:tcPr>
            <w:tcW w:type="dxa" w:w="6500"/>
            <w:vAlign w:val="center"/>
          </w:tcPr>
          <w:p>
            <w:r>
              <w:rPr>
                <w:rFonts w:ascii="Calibri" w:cs="Calibri" w:eastAsia="Calibri" w:hAnsi="Calibri"/>
                <w:b w:val="false"/>
                <w:bCs w:val="false"/>
                <w:color w:val="374151"/>
                <w:sz w:val="20"/>
                <w:szCs w:val="20"/>
              </w:rPr>
              <w:t xml:space="preserve">Direct — reads and writes your actual files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Session memory</w:t>
            </w:r>
          </w:p>
        </w:tc>
        <w:tc>
          <w:tcPr>
            <w:tcW w:type="dxa" w:w="6500"/>
            <w:vAlign w:val="center"/>
          </w:tcPr>
          <w:p>
            <w:r>
              <w:rPr>
                <w:rFonts w:ascii="Calibri" w:cs="Calibri" w:eastAsia="Calibri" w:hAnsi="Calibri"/>
                <w:b w:val="false"/>
                <w:bCs w:val="false"/>
                <w:color w:val="374151"/>
                <w:sz w:val="20"/>
                <w:szCs w:val="20"/>
              </w:rPr>
              <w:t xml:space="preserve">Within-session only — use MCP file for cross-session memory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Billing</w:t>
            </w:r>
          </w:p>
        </w:tc>
        <w:tc>
          <w:tcPr>
            <w:tcW w:type="dxa" w:w="6500"/>
            <w:vAlign w:val="center"/>
          </w:tcPr>
          <w:p>
            <w:r>
              <w:rPr>
                <w:rFonts w:ascii="Calibri" w:cs="Calibri" w:eastAsia="Calibri" w:hAnsi="Calibri"/>
                <w:b w:val="false"/>
                <w:bCs w:val="false"/>
                <w:color w:val="374151"/>
                <w:sz w:val="20"/>
                <w:szCs w:val="20"/>
              </w:rPr>
              <w:t xml:space="preserve">Uses your Claude Pro subscription — same account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Best for</w:t>
            </w:r>
          </w:p>
        </w:tc>
        <w:tc>
          <w:tcPr>
            <w:tcW w:type="dxa" w:w="6500"/>
            <w:vAlign w:val="center"/>
          </w:tcPr>
          <w:p>
            <w:r>
              <w:rPr>
                <w:rFonts w:ascii="Calibri" w:cs="Calibri" w:eastAsia="Calibri" w:hAnsi="Calibri"/>
                <w:b w:val="false"/>
                <w:bCs w:val="false"/>
                <w:color w:val="374151"/>
                <w:sz w:val="20"/>
                <w:szCs w:val="20"/>
              </w:rPr>
              <w:t xml:space="preserve">Complex debugging, architectural questions alongside code execution</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10.4 Recommended Workflow With Claude Code</w:t>
      </w:r>
    </w:p>
    <w:p>
      <w:pPr>
        <w:pStyle w:val="ListParagraph"/>
        <w:numPr>
          <w:ilvl w:val="0"/>
          <w:numId w:val="1"/>
        </w:numPr>
        <w:spacing w:after="60" w:before="60"/>
      </w:pPr>
      <w:r>
        <w:rPr>
          <w:rFonts w:ascii="Calibri" w:cs="Calibri" w:eastAsia="Calibri" w:hAnsi="Calibri"/>
          <w:color w:val="374151"/>
          <w:sz w:val="21"/>
          <w:szCs w:val="21"/>
        </w:rPr>
        <w:t xml:space="preserve">Start session: claude → read MCP file → confirm current status</w:t>
      </w:r>
    </w:p>
    <w:p>
      <w:pPr>
        <w:pStyle w:val="ListParagraph"/>
        <w:numPr>
          <w:ilvl w:val="0"/>
          <w:numId w:val="1"/>
        </w:numPr>
        <w:spacing w:after="60" w:before="60"/>
      </w:pPr>
      <w:r>
        <w:rPr>
          <w:rFonts w:ascii="Calibri" w:cs="Calibri" w:eastAsia="Calibri" w:hAnsi="Calibri"/>
          <w:color w:val="374151"/>
          <w:sz w:val="21"/>
          <w:szCs w:val="21"/>
        </w:rPr>
        <w:t xml:space="preserve">Give one task at a time — do not combine multiple steps in one message</w:t>
      </w:r>
    </w:p>
    <w:p>
      <w:pPr>
        <w:pStyle w:val="ListParagraph"/>
        <w:numPr>
          <w:ilvl w:val="0"/>
          <w:numId w:val="1"/>
        </w:numPr>
        <w:spacing w:after="60" w:before="60"/>
      </w:pPr>
      <w:r>
        <w:rPr>
          <w:rFonts w:ascii="Calibri" w:cs="Calibri" w:eastAsia="Calibri" w:hAnsi="Calibri"/>
          <w:color w:val="374151"/>
          <w:sz w:val="21"/>
          <w:szCs w:val="21"/>
        </w:rPr>
        <w:t xml:space="preserve">After each task: ask Claude Code to run the compile gate before moving on</w:t>
      </w:r>
    </w:p>
    <w:p>
      <w:pPr>
        <w:pStyle w:val="ListParagraph"/>
        <w:numPr>
          <w:ilvl w:val="0"/>
          <w:numId w:val="1"/>
        </w:numPr>
        <w:spacing w:after="60" w:before="60"/>
      </w:pPr>
      <w:r>
        <w:rPr>
          <w:rFonts w:ascii="Calibri" w:cs="Calibri" w:eastAsia="Calibri" w:hAnsi="Calibri"/>
          <w:color w:val="374151"/>
          <w:sz w:val="21"/>
          <w:szCs w:val="21"/>
        </w:rPr>
        <w:t xml:space="preserve">End session: ask Claude Code to git commit and push</w:t>
      </w:r>
    </w:p>
    <w:p>
      <w:pPr>
        <w:pStyle w:val="ListParagraph"/>
        <w:numPr>
          <w:ilvl w:val="0"/>
          <w:numId w:val="1"/>
        </w:numPr>
        <w:spacing w:after="60" w:before="60"/>
      </w:pPr>
      <w:r>
        <w:rPr>
          <w:rFonts w:ascii="Calibri" w:cs="Calibri" w:eastAsia="Calibri" w:hAnsi="Calibri"/>
          <w:color w:val="374151"/>
          <w:sz w:val="21"/>
          <w:szCs w:val="21"/>
        </w:rPr>
        <w:t xml:space="preserve">Come back to this chat to write the next prompt or get architectural guidance</w:t>
      </w:r>
    </w:p>
    <w:p>
      <w:pPr>
        <w:pStyle w:val="Heading2"/>
        <w:pBdr>
          <w:bottom w:val="single" w:color="F59E0B" w:sz="4"/>
        </w:pBdr>
        <w:spacing w:after="120" w:before="360"/>
      </w:pPr>
      <w:r>
        <w:rPr>
          <w:rFonts w:ascii="Calibri" w:cs="Calibri" w:eastAsia="Calibri" w:hAnsi="Calibri"/>
          <w:b/>
          <w:bCs/>
          <w:color w:val="1A1A2E"/>
          <w:sz w:val="36"/>
          <w:szCs w:val="36"/>
        </w:rPr>
        <w:t xml:space="preserve">10.5 CLAUDE.md — Your Project Memory File</w:t>
      </w:r>
    </w:p>
    <w:p>
      <w:pPr>
        <w:spacing w:after="80" w:before="80"/>
      </w:pPr>
      <w:r>
        <w:rPr>
          <w:rFonts w:ascii="Calibri" w:cs="Calibri" w:eastAsia="Calibri" w:hAnsi="Calibri"/>
          <w:b w:val="false"/>
          <w:bCs w:val="false"/>
          <w:i w:val="false"/>
          <w:iCs w:val="false"/>
          <w:color w:val="374151"/>
          <w:sz w:val="22"/>
          <w:szCs w:val="22"/>
        </w:rPr>
        <w:t xml:space="preserve">Run /init inside Claude Code to create a CLAUDE.md file. This file persists context across Claude Code sessions — similar to the MCP server for Antigravity.</w:t>
      </w:r>
    </w:p>
    <w:p>
      <w:pPr>
        <w:spacing w:after="80" w:before="80"/>
      </w:pPr>
      <w:r>
        <w:rPr>
          <w:rFonts w:ascii="Calibri" w:cs="Calibri" w:eastAsia="Calibri" w:hAnsi="Calibri"/>
          <w:b w:val="false"/>
          <w:bCs w:val="false"/>
          <w:i w:val="false"/>
          <w:iCs w:val="false"/>
          <w:color w:val="374151"/>
          <w:sz w:val="22"/>
          <w:szCs w:val="22"/>
        </w:rPr>
        <w:t xml:space="preserve">Add to CLAUDE.md:</w:t>
      </w:r>
    </w:p>
    <w:p>
      <w:pPr>
        <w:pStyle w:val="ListParagraph"/>
        <w:numPr>
          <w:ilvl w:val="0"/>
          <w:numId w:val="1"/>
        </w:numPr>
        <w:spacing w:after="60" w:before="60"/>
      </w:pPr>
      <w:r>
        <w:rPr>
          <w:rFonts w:ascii="Calibri" w:cs="Calibri" w:eastAsia="Calibri" w:hAnsi="Calibri"/>
          <w:color w:val="374151"/>
          <w:sz w:val="21"/>
          <w:szCs w:val="21"/>
        </w:rPr>
        <w:t xml:space="preserve">The compile gate command</w:t>
      </w:r>
    </w:p>
    <w:p>
      <w:pPr>
        <w:pStyle w:val="ListParagraph"/>
        <w:numPr>
          <w:ilvl w:val="0"/>
          <w:numId w:val="1"/>
        </w:numPr>
        <w:spacing w:after="60" w:before="60"/>
      </w:pPr>
      <w:r>
        <w:rPr>
          <w:rFonts w:ascii="Calibri" w:cs="Calibri" w:eastAsia="Calibri" w:hAnsi="Calibri"/>
          <w:color w:val="374151"/>
          <w:sz w:val="21"/>
          <w:szCs w:val="21"/>
        </w:rPr>
        <w:t xml:space="preserve">The non-negotiables from Section 1.4</w:t>
      </w:r>
    </w:p>
    <w:p>
      <w:pPr>
        <w:pStyle w:val="ListParagraph"/>
        <w:numPr>
          <w:ilvl w:val="0"/>
          <w:numId w:val="1"/>
        </w:numPr>
        <w:spacing w:after="60" w:before="60"/>
      </w:pPr>
      <w:r>
        <w:rPr>
          <w:rFonts w:ascii="Calibri" w:cs="Calibri" w:eastAsia="Calibri" w:hAnsi="Calibri"/>
          <w:color w:val="374151"/>
          <w:sz w:val="21"/>
          <w:szCs w:val="21"/>
        </w:rPr>
        <w:t xml:space="preserve">The five rules from Section 6.2</w:t>
      </w:r>
    </w:p>
    <w:p>
      <w:pPr>
        <w:pStyle w:val="ListParagraph"/>
        <w:numPr>
          <w:ilvl w:val="0"/>
          <w:numId w:val="1"/>
        </w:numPr>
        <w:spacing w:after="60" w:before="60"/>
      </w:pPr>
      <w:r>
        <w:rPr>
          <w:rFonts w:ascii="Calibri" w:cs="Calibri" w:eastAsia="Calibri" w:hAnsi="Calibri"/>
          <w:color w:val="374151"/>
          <w:sz w:val="21"/>
          <w:szCs w:val="21"/>
        </w:rPr>
        <w:t xml:space="preserve">The audit-before-build rule from Section 4.3</w:t>
      </w:r>
    </w:p>
    <w:p>
      <w:pPr>
        <w:spacing w:after="80" w:before="80"/>
      </w:pPr>
      <w:r>
        <w:rPr>
          <w:rFonts w:ascii="Calibri" w:cs="Calibri" w:eastAsia="Calibri" w:hAnsi="Calibri"/>
          <w:b w:val="false"/>
          <w:bCs w:val="false"/>
          <w:i w:val="false"/>
          <w:iCs w:val="false"/>
          <w:color w:val="374151"/>
          <w:sz w:val="22"/>
          <w:szCs w:val="22"/>
        </w:rPr>
        <w:t xml:space="preserve">Claude Code reads CLAUDE.md automatically at the start of every session.</w:t>
      </w:r>
    </w:p>
    <w:p>
      <w:r>
        <w:br w:type="page"/>
      </w:r>
    </w:p>
    <w:p>
      <w:pPr>
        <w:pStyle w:val="Heading1"/>
        <w:spacing w:after="160" w:before="480"/>
      </w:pPr>
      <w:r>
        <w:rPr>
          <w:rFonts w:ascii="Calibri" w:cs="Calibri" w:eastAsia="Calibri" w:hAnsi="Calibri"/>
          <w:b/>
          <w:bCs/>
          <w:color w:val="1A1A2E"/>
          <w:sz w:val="52"/>
          <w:szCs w:val="52"/>
        </w:rPr>
        <w:t xml:space="preserve">11. Quick Reference</w:t>
      </w:r>
    </w:p>
    <w:p>
      <w:pPr>
        <w:pStyle w:val="Heading2"/>
        <w:pBdr>
          <w:bottom w:val="single" w:color="F59E0B" w:sz="4"/>
        </w:pBdr>
        <w:spacing w:after="120" w:before="360"/>
      </w:pPr>
      <w:r>
        <w:rPr>
          <w:rFonts w:ascii="Calibri" w:cs="Calibri" w:eastAsia="Calibri" w:hAnsi="Calibri"/>
          <w:b/>
          <w:bCs/>
          <w:color w:val="1A1A2E"/>
          <w:sz w:val="36"/>
          <w:szCs w:val="36"/>
        </w:rPr>
        <w:t xml:space="preserve">11.1 Essential Commands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Command</w:t>
            </w:r>
          </w:p>
        </w:tc>
        <w:tc>
          <w:tcPr>
            <w:tcW w:type="dxa" w:w="6500"/>
            <w:shd w:color="1A1A2E" w:val="solid"/>
            <w:vAlign w:val="center"/>
          </w:tcPr>
          <w:p>
            <w:r>
              <w:rPr>
                <w:rFonts w:ascii="Calibri" w:cs="Calibri" w:eastAsia="Calibri" w:hAnsi="Calibri"/>
                <w:b/>
                <w:bCs/>
                <w:color w:val="FFFFFF"/>
                <w:sz w:val="20"/>
                <w:szCs w:val="20"/>
              </w:rPr>
              <w:t xml:space="preserve">Purpose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docker run --rm -v $(pwd)/backend:/app -w /app golang:1.22-bookworm go build ./... 2&gt;&amp;1</w:t>
            </w:r>
          </w:p>
        </w:tc>
        <w:tc>
          <w:tcPr>
            <w:tcW w:type="dxa" w:w="6500"/>
            <w:vAlign w:val="center"/>
          </w:tcPr>
          <w:p>
            <w:r>
              <w:rPr>
                <w:rFonts w:ascii="Calibri" w:cs="Calibri" w:eastAsia="Calibri" w:hAnsi="Calibri"/>
                <w:b w:val="false"/>
                <w:bCs w:val="false"/>
                <w:color w:val="374151"/>
                <w:sz w:val="20"/>
                <w:szCs w:val="20"/>
              </w:rPr>
              <w:t xml:space="preserve">Go compile gate — must return zero output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cd frontend &amp;&amp; npx tsc -p tsconfig.app.json --noEmit 2&gt;&amp;1</w:t>
            </w:r>
          </w:p>
        </w:tc>
        <w:tc>
          <w:tcPr>
            <w:tcW w:type="dxa" w:w="6500"/>
            <w:vAlign w:val="center"/>
          </w:tcPr>
          <w:p>
            <w:r>
              <w:rPr>
                <w:rFonts w:ascii="Calibri" w:cs="Calibri" w:eastAsia="Calibri" w:hAnsi="Calibri"/>
                <w:b w:val="false"/>
                <w:bCs w:val="false"/>
                <w:color w:val="374151"/>
                <w:sz w:val="20"/>
                <w:szCs w:val="20"/>
              </w:rPr>
              <w:t xml:space="preserve">TypeScript compile gate — must return zero errors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docker compose up -d</w:t>
            </w:r>
          </w:p>
        </w:tc>
        <w:tc>
          <w:tcPr>
            <w:tcW w:type="dxa" w:w="6500"/>
            <w:vAlign w:val="center"/>
          </w:tcPr>
          <w:p>
            <w:r>
              <w:rPr>
                <w:rFonts w:ascii="Calibri" w:cs="Calibri" w:eastAsia="Calibri" w:hAnsi="Calibri"/>
                <w:b w:val="false"/>
                <w:bCs w:val="false"/>
                <w:color w:val="374151"/>
                <w:sz w:val="20"/>
                <w:szCs w:val="20"/>
              </w:rPr>
              <w:t xml:space="preserve">Start all services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docker compose restart backend &amp;&amp; sleep 6 &amp;&amp; docker logs supplyxerp-backend --tail 20</w:t>
            </w:r>
          </w:p>
        </w:tc>
        <w:tc>
          <w:tcPr>
            <w:tcW w:type="dxa" w:w="6500"/>
            <w:vAlign w:val="center"/>
          </w:tcPr>
          <w:p>
            <w:r>
              <w:rPr>
                <w:rFonts w:ascii="Calibri" w:cs="Calibri" w:eastAsia="Calibri" w:hAnsi="Calibri"/>
                <w:b w:val="false"/>
                <w:bCs w:val="false"/>
                <w:color w:val="374151"/>
                <w:sz w:val="20"/>
                <w:szCs w:val="20"/>
              </w:rPr>
              <w:t xml:space="preserve">Restart backend and check logs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docker run --rm -v $(pwd):/src -w /src/backend sqlc/sqlc generate</w:t>
            </w:r>
          </w:p>
        </w:tc>
        <w:tc>
          <w:tcPr>
            <w:tcW w:type="dxa" w:w="6500"/>
            <w:vAlign w:val="center"/>
          </w:tcPr>
          <w:p>
            <w:r>
              <w:rPr>
                <w:rFonts w:ascii="Calibri" w:cs="Calibri" w:eastAsia="Calibri" w:hAnsi="Calibri"/>
                <w:b w:val="false"/>
                <w:bCs w:val="false"/>
                <w:color w:val="374151"/>
                <w:sz w:val="20"/>
                <w:szCs w:val="20"/>
              </w:rPr>
              <w:t xml:space="preserve">Regenerate sqlc Go code from SQL queries</w:t>
            </w:r>
          </w:p>
        </w:tc>
      </w:tr>
      <w:tr>
        <w:trPr>
          <w:tblHeader w:val="false"/>
        </w:trPr>
        <w:tc>
          <w:tcPr>
            <w:tcW w:type="dxa" w:w="3000"/>
            <w:vAlign w:val="center"/>
          </w:tcPr>
          <w:p>
            <w:r>
              <w:rPr>
                <w:rFonts w:ascii="Calibri" w:cs="Calibri" w:eastAsia="Calibri" w:hAnsi="Calibri"/>
                <w:b w:val="false"/>
                <w:bCs w:val="false"/>
                <w:color w:val="111111"/>
                <w:sz w:val="20"/>
                <w:szCs w:val="20"/>
              </w:rPr>
              <w:t xml:space="preserve">git add -A &amp;&amp; git commit -m 'feat: description' &amp;&amp; git push origin main</w:t>
            </w:r>
          </w:p>
        </w:tc>
        <w:tc>
          <w:tcPr>
            <w:tcW w:type="dxa" w:w="6500"/>
            <w:vAlign w:val="center"/>
          </w:tcPr>
          <w:p>
            <w:r>
              <w:rPr>
                <w:rFonts w:ascii="Calibri" w:cs="Calibri" w:eastAsia="Calibri" w:hAnsi="Calibri"/>
                <w:b w:val="false"/>
                <w:bCs w:val="false"/>
                <w:color w:val="374151"/>
                <w:sz w:val="20"/>
                <w:szCs w:val="20"/>
              </w:rPr>
              <w:t xml:space="preserve">Standard commit and push</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11.2 Port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Service</w:t>
            </w:r>
          </w:p>
        </w:tc>
        <w:tc>
          <w:tcPr>
            <w:tcW w:type="dxa" w:w="6500"/>
            <w:shd w:color="1A1A2E" w:val="solid"/>
            <w:vAlign w:val="center"/>
          </w:tcPr>
          <w:p>
            <w:r>
              <w:rPr>
                <w:rFonts w:ascii="Calibri" w:cs="Calibri" w:eastAsia="Calibri" w:hAnsi="Calibri"/>
                <w:b/>
                <w:bCs/>
                <w:color w:val="FFFFFF"/>
                <w:sz w:val="20"/>
                <w:szCs w:val="20"/>
              </w:rPr>
              <w:t xml:space="preserve">Port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Frontend (Vite)</w:t>
            </w:r>
          </w:p>
        </w:tc>
        <w:tc>
          <w:tcPr>
            <w:tcW w:type="dxa" w:w="6500"/>
            <w:vAlign w:val="center"/>
          </w:tcPr>
          <w:p>
            <w:r>
              <w:rPr>
                <w:rFonts w:ascii="Calibri" w:cs="Calibri" w:eastAsia="Calibri" w:hAnsi="Calibri"/>
                <w:b w:val="false"/>
                <w:bCs w:val="false"/>
                <w:color w:val="374151"/>
                <w:sz w:val="20"/>
                <w:szCs w:val="20"/>
              </w:rPr>
              <w:t xml:space="preserve">localhost:5173</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 (Go/Gin)</w:t>
            </w:r>
          </w:p>
        </w:tc>
        <w:tc>
          <w:tcPr>
            <w:tcW w:type="dxa" w:w="6500"/>
            <w:vAlign w:val="center"/>
          </w:tcPr>
          <w:p>
            <w:r>
              <w:rPr>
                <w:rFonts w:ascii="Calibri" w:cs="Calibri" w:eastAsia="Calibri" w:hAnsi="Calibri"/>
                <w:b w:val="false"/>
                <w:bCs w:val="false"/>
                <w:color w:val="374151"/>
                <w:sz w:val="20"/>
                <w:szCs w:val="20"/>
              </w:rPr>
              <w:t xml:space="preserve">localhost:8080</w:t>
            </w:r>
          </w:p>
        </w:tc>
      </w:tr>
      <w:tr>
        <w:trPr>
          <w:tblHeader w:val="false"/>
        </w:trPr>
        <w:tc>
          <w:tcPr>
            <w:tcW w:type="dxa" w:w="3000"/>
            <w:vAlign w:val="center"/>
          </w:tcPr>
          <w:p>
            <w:r>
              <w:rPr>
                <w:rFonts w:ascii="Calibri" w:cs="Calibri" w:eastAsia="Calibri" w:hAnsi="Calibri"/>
                <w:b w:val="false"/>
                <w:bCs w:val="false"/>
                <w:color w:val="111111"/>
                <w:sz w:val="20"/>
                <w:szCs w:val="20"/>
              </w:rPr>
              <w:t xml:space="preserve">PostgreSQL</w:t>
            </w:r>
          </w:p>
        </w:tc>
        <w:tc>
          <w:tcPr>
            <w:tcW w:type="dxa" w:w="6500"/>
            <w:vAlign w:val="center"/>
          </w:tcPr>
          <w:p>
            <w:r>
              <w:rPr>
                <w:rFonts w:ascii="Calibri" w:cs="Calibri" w:eastAsia="Calibri" w:hAnsi="Calibri"/>
                <w:b w:val="false"/>
                <w:bCs w:val="false"/>
                <w:color w:val="374151"/>
                <w:sz w:val="20"/>
                <w:szCs w:val="20"/>
              </w:rPr>
              <w:t xml:space="preserve">localhost:5432</w:t>
            </w:r>
          </w:p>
        </w:tc>
      </w:tr>
      <w:tr>
        <w:trPr>
          <w:tblHeader w:val="false"/>
        </w:trPr>
        <w:tc>
          <w:tcPr>
            <w:tcW w:type="dxa" w:w="3000"/>
            <w:vAlign w:val="center"/>
          </w:tcPr>
          <w:p>
            <w:r>
              <w:rPr>
                <w:rFonts w:ascii="Calibri" w:cs="Calibri" w:eastAsia="Calibri" w:hAnsi="Calibri"/>
                <w:b w:val="false"/>
                <w:bCs w:val="false"/>
                <w:color w:val="111111"/>
                <w:sz w:val="20"/>
                <w:szCs w:val="20"/>
              </w:rPr>
              <w:t xml:space="preserve">Redis</w:t>
            </w:r>
          </w:p>
        </w:tc>
        <w:tc>
          <w:tcPr>
            <w:tcW w:type="dxa" w:w="6500"/>
            <w:vAlign w:val="center"/>
          </w:tcPr>
          <w:p>
            <w:r>
              <w:rPr>
                <w:rFonts w:ascii="Calibri" w:cs="Calibri" w:eastAsia="Calibri" w:hAnsi="Calibri"/>
                <w:b w:val="false"/>
                <w:bCs w:val="false"/>
                <w:color w:val="374151"/>
                <w:sz w:val="20"/>
                <w:szCs w:val="20"/>
              </w:rPr>
              <w:t xml:space="preserve">localhost:6379</w:t>
            </w:r>
          </w:p>
        </w:tc>
      </w:tr>
      <w:tr>
        <w:trPr>
          <w:tblHeader w:val="false"/>
        </w:trPr>
        <w:tc>
          <w:tcPr>
            <w:tcW w:type="dxa" w:w="3000"/>
            <w:vAlign w:val="center"/>
          </w:tcPr>
          <w:p>
            <w:r>
              <w:rPr>
                <w:rFonts w:ascii="Calibri" w:cs="Calibri" w:eastAsia="Calibri" w:hAnsi="Calibri"/>
                <w:b w:val="false"/>
                <w:bCs w:val="false"/>
                <w:color w:val="111111"/>
                <w:sz w:val="20"/>
                <w:szCs w:val="20"/>
              </w:rPr>
              <w:t xml:space="preserve">Adminer (DB UI)</w:t>
            </w:r>
          </w:p>
        </w:tc>
        <w:tc>
          <w:tcPr>
            <w:tcW w:type="dxa" w:w="6500"/>
            <w:vAlign w:val="center"/>
          </w:tcPr>
          <w:p>
            <w:r>
              <w:rPr>
                <w:rFonts w:ascii="Calibri" w:cs="Calibri" w:eastAsia="Calibri" w:hAnsi="Calibri"/>
                <w:b w:val="false"/>
                <w:bCs w:val="false"/>
                <w:color w:val="374151"/>
                <w:sz w:val="20"/>
                <w:szCs w:val="20"/>
              </w:rPr>
              <w:t xml:space="preserve">localhost:8081 (if configured)</w:t>
            </w:r>
          </w:p>
        </w:tc>
      </w:tr>
    </w:tbl>
    <w:p>
      <w:pPr>
        <w:pStyle w:val="Heading2"/>
        <w:pBdr>
          <w:bottom w:val="single" w:color="F59E0B" w:sz="4"/>
        </w:pBdr>
        <w:spacing w:after="120" w:before="360"/>
      </w:pPr>
      <w:r>
        <w:rPr>
          <w:rFonts w:ascii="Calibri" w:cs="Calibri" w:eastAsia="Calibri" w:hAnsi="Calibri"/>
          <w:b/>
          <w:bCs/>
          <w:color w:val="1A1A2E"/>
          <w:sz w:val="36"/>
          <w:szCs w:val="36"/>
        </w:rPr>
        <w:t xml:space="preserve">11.3 Key File Locations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color="1A1A2E" w:val="solid"/>
            <w:vAlign w:val="center"/>
          </w:tcPr>
          <w:p>
            <w:r>
              <w:rPr>
                <w:rFonts w:ascii="Calibri" w:cs="Calibri" w:eastAsia="Calibri" w:hAnsi="Calibri"/>
                <w:b/>
                <w:bCs/>
                <w:color w:val="FFFFFF"/>
                <w:sz w:val="20"/>
                <w:szCs w:val="20"/>
              </w:rPr>
              <w:t xml:space="preserve">File</w:t>
            </w:r>
          </w:p>
        </w:tc>
        <w:tc>
          <w:tcPr>
            <w:tcW w:type="dxa" w:w="6500"/>
            <w:shd w:color="1A1A2E" w:val="solid"/>
            <w:vAlign w:val="center"/>
          </w:tcPr>
          <w:p>
            <w:r>
              <w:rPr>
                <w:rFonts w:ascii="Calibri" w:cs="Calibri" w:eastAsia="Calibri" w:hAnsi="Calibri"/>
                <w:b/>
                <w:bCs/>
                <w:color w:val="FFFFFF"/>
                <w:sz w:val="20"/>
                <w:szCs w:val="20"/>
              </w:rPr>
              <w:t xml:space="preserve">Purpose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backend/internal/api/router.go</w:t>
            </w:r>
          </w:p>
        </w:tc>
        <w:tc>
          <w:tcPr>
            <w:tcW w:type="dxa" w:w="6500"/>
            <w:vAlign w:val="center"/>
          </w:tcPr>
          <w:p>
            <w:r>
              <w:rPr>
                <w:rFonts w:ascii="Calibri" w:cs="Calibri" w:eastAsia="Calibri" w:hAnsi="Calibri"/>
                <w:b w:val="false"/>
                <w:bCs w:val="false"/>
                <w:color w:val="374151"/>
                <w:sz w:val="20"/>
                <w:szCs w:val="20"/>
              </w:rPr>
              <w:t xml:space="preserve">All API route registrations — single source of truth</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backend/internal/api/handlers/</w:t>
            </w:r>
          </w:p>
        </w:tc>
        <w:tc>
          <w:tcPr>
            <w:tcW w:type="dxa" w:w="6500"/>
            <w:vAlign w:val="center"/>
          </w:tcPr>
          <w:p>
            <w:r>
              <w:rPr>
                <w:rFonts w:ascii="Calibri" w:cs="Calibri" w:eastAsia="Calibri" w:hAnsi="Calibri"/>
                <w:b w:val="false"/>
                <w:bCs w:val="false"/>
                <w:color w:val="374151"/>
                <w:sz w:val="20"/>
                <w:szCs w:val="20"/>
              </w:rPr>
              <w:t xml:space="preserve">One handler file per domain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backend/internal/db/migrations/</w:t>
            </w:r>
          </w:p>
        </w:tc>
        <w:tc>
          <w:tcPr>
            <w:tcW w:type="dxa" w:w="6500"/>
            <w:vAlign w:val="center"/>
          </w:tcPr>
          <w:p>
            <w:r>
              <w:rPr>
                <w:rFonts w:ascii="Calibri" w:cs="Calibri" w:eastAsia="Calibri" w:hAnsi="Calibri"/>
                <w:b w:val="false"/>
                <w:bCs w:val="false"/>
                <w:color w:val="374151"/>
                <w:sz w:val="20"/>
                <w:szCs w:val="20"/>
              </w:rPr>
              <w:t xml:space="preserve">Database migrations — numbered, never modified after commit</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backend/internal/db/queries/</w:t>
            </w:r>
          </w:p>
        </w:tc>
        <w:tc>
          <w:tcPr>
            <w:tcW w:type="dxa" w:w="6500"/>
            <w:vAlign w:val="center"/>
          </w:tcPr>
          <w:p>
            <w:r>
              <w:rPr>
                <w:rFonts w:ascii="Calibri" w:cs="Calibri" w:eastAsia="Calibri" w:hAnsi="Calibri"/>
                <w:b w:val="false"/>
                <w:bCs w:val="false"/>
                <w:color w:val="374151"/>
                <w:sz w:val="20"/>
                <w:szCs w:val="20"/>
              </w:rPr>
              <w:t xml:space="preserve">sqlc SQL queries — one file per domain</w:t>
            </w:r>
          </w:p>
        </w:tc>
      </w:tr>
      <w:tr>
        <w:trPr>
          <w:tblHeader w:val="false"/>
        </w:trPr>
        <w:tc>
          <w:tcPr>
            <w:tcW w:type="dxa" w:w="3000"/>
            <w:vAlign w:val="center"/>
          </w:tcPr>
          <w:p>
            <w:r>
              <w:rPr>
                <w:rFonts w:ascii="Calibri" w:cs="Calibri" w:eastAsia="Calibri" w:hAnsi="Calibri"/>
                <w:b w:val="false"/>
                <w:bCs w:val="false"/>
                <w:color w:val="111111"/>
                <w:sz w:val="20"/>
                <w:szCs w:val="20"/>
              </w:rPr>
              <w:t xml:space="preserve">backend/internal/db/dbgen/</w:t>
            </w:r>
          </w:p>
        </w:tc>
        <w:tc>
          <w:tcPr>
            <w:tcW w:type="dxa" w:w="6500"/>
            <w:vAlign w:val="center"/>
          </w:tcPr>
          <w:p>
            <w:r>
              <w:rPr>
                <w:rFonts w:ascii="Calibri" w:cs="Calibri" w:eastAsia="Calibri" w:hAnsi="Calibri"/>
                <w:b w:val="false"/>
                <w:bCs w:val="false"/>
                <w:color w:val="374151"/>
                <w:sz w:val="20"/>
                <w:szCs w:val="20"/>
              </w:rPr>
              <w:t xml:space="preserve">Auto-generated Go code from sqlc — never edit manually</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frontend/src/pages/layout/Sidebar.tsx</w:t>
            </w:r>
          </w:p>
        </w:tc>
        <w:tc>
          <w:tcPr>
            <w:tcW w:type="dxa" w:w="6500"/>
            <w:vAlign w:val="center"/>
          </w:tcPr>
          <w:p>
            <w:r>
              <w:rPr>
                <w:rFonts w:ascii="Calibri" w:cs="Calibri" w:eastAsia="Calibri" w:hAnsi="Calibri"/>
                <w:b w:val="false"/>
                <w:bCs w:val="false"/>
                <w:color w:val="374151"/>
                <w:sz w:val="20"/>
                <w:szCs w:val="20"/>
              </w:rPr>
              <w:t xml:space="preserve">Navigation — all sidebar entries defined here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frontend/src/pages/AppPage.tsx</w:t>
            </w:r>
          </w:p>
        </w:tc>
        <w:tc>
          <w:tcPr>
            <w:tcW w:type="dxa" w:w="6500"/>
            <w:vAlign w:val="center"/>
          </w:tcPr>
          <w:p>
            <w:r>
              <w:rPr>
                <w:rFonts w:ascii="Calibri" w:cs="Calibri" w:eastAsia="Calibri" w:hAnsi="Calibri"/>
                <w:b w:val="false"/>
                <w:bCs w:val="false"/>
                <w:color w:val="374151"/>
                <w:sz w:val="20"/>
                <w:szCs w:val="20"/>
              </w:rPr>
              <w:t xml:space="preserve">Page routing — all module components registered here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frontend/src/store/sectionStore.ts</w:t>
            </w:r>
          </w:p>
        </w:tc>
        <w:tc>
          <w:tcPr>
            <w:tcW w:type="dxa" w:w="6500"/>
            <w:vAlign w:val="center"/>
          </w:tcPr>
          <w:p>
            <w:r>
              <w:rPr>
                <w:rFonts w:ascii="Calibri" w:cs="Calibri" w:eastAsia="Calibri" w:hAnsi="Calibri"/>
                <w:b w:val="false"/>
                <w:bCs w:val="false"/>
                <w:color w:val="374151"/>
                <w:sz w:val="20"/>
                <w:szCs w:val="20"/>
              </w:rPr>
              <w:t xml:space="preserve">Section theme store — accent colors frozen here</w:t>
            </w:r>
          </w:p>
        </w:tc>
      </w:tr>
      <w:tr>
        <w:trPr>
          <w:tblHeader w:val="false"/>
        </w:trPr>
        <w:tc>
          <w:tcPr>
            <w:tcW w:type="dxa" w:w="3000"/>
            <w:vAlign w:val="center"/>
          </w:tcPr>
          <w:p>
            <w:r>
              <w:rPr>
                <w:rFonts w:ascii="Calibri" w:cs="Calibri" w:eastAsia="Calibri" w:hAnsi="Calibri"/>
                <w:b w:val="false"/>
                <w:bCs w:val="false"/>
                <w:color w:val="111111"/>
                <w:sz w:val="20"/>
                <w:szCs w:val="20"/>
              </w:rPr>
              <w:t xml:space="preserve">frontend/src/design-system.css</w:t>
            </w:r>
          </w:p>
        </w:tc>
        <w:tc>
          <w:tcPr>
            <w:tcW w:type="dxa" w:w="6500"/>
            <w:vAlign w:val="center"/>
          </w:tcPr>
          <w:p>
            <w:r>
              <w:rPr>
                <w:rFonts w:ascii="Calibri" w:cs="Calibri" w:eastAsia="Calibri" w:hAnsi="Calibri"/>
                <w:b w:val="false"/>
                <w:bCs w:val="false"/>
                <w:color w:val="374151"/>
                <w:sz w:val="20"/>
                <w:szCs w:val="20"/>
              </w:rPr>
              <w:t xml:space="preserve">All CSS variables — imported once in main.tsx</w:t>
            </w:r>
          </w:p>
        </w:tc>
      </w:tr>
      <w:tr>
        <w:trPr>
          <w:tblHeader w:val="false"/>
        </w:trPr>
        <w:tc>
          <w:tcPr>
            <w:tcW w:type="dxa" w:w="3000"/>
            <w:vAlign w:val="center"/>
          </w:tcPr>
          <w:p>
            <w:r>
              <w:rPr>
                <w:rFonts w:ascii="Calibri" w:cs="Calibri" w:eastAsia="Calibri" w:hAnsi="Calibri"/>
                <w:b w:val="false"/>
                <w:bCs w:val="false"/>
                <w:color w:val="111111"/>
                <w:sz w:val="20"/>
                <w:szCs w:val="20"/>
              </w:rPr>
              <w:t xml:space="preserve">mcp/erplite_mcp_updated.py</w:t>
            </w:r>
          </w:p>
        </w:tc>
        <w:tc>
          <w:tcPr>
            <w:tcW w:type="dxa" w:w="6500"/>
            <w:vAlign w:val="center"/>
          </w:tcPr>
          <w:p>
            <w:r>
              <w:rPr>
                <w:rFonts w:ascii="Calibri" w:cs="Calibri" w:eastAsia="Calibri" w:hAnsi="Calibri"/>
                <w:b w:val="false"/>
                <w:bCs w:val="false"/>
                <w:color w:val="374151"/>
                <w:sz w:val="20"/>
                <w:szCs w:val="20"/>
              </w:rPr>
              <w:t xml:space="preserve">Project memory — updated after every step</w:t>
            </w:r>
          </w:p>
        </w:tc>
      </w:tr>
    </w:tbl>
    <w:p>
      <w:pPr>
        <w:spacing w:before="480"/>
      </w:pPr>
      <w:r>
        <w:t xml:space="preserve"/>
      </w:r>
    </w:p>
    <w:p>
      <w:pPr>
        <w:pBdr>
          <w:bottom w:val="single" w:color="E5E7EB" w:sz="6"/>
        </w:pBdr>
        <w:spacing w:after="200" w:before="200"/>
      </w:pPr>
      <w:r>
        <w:t xml:space="preserve"/>
      </w:r>
    </w:p>
    <w:p>
      <w:pPr>
        <w:spacing w:before="240"/>
        <w:jc w:val="center"/>
      </w:pPr>
      <w:r>
        <w:rPr>
          <w:rFonts w:ascii="Calibri" w:cs="Calibri" w:eastAsia="Calibri" w:hAnsi="Calibri"/>
          <w:i/>
          <w:iCs/>
          <w:color w:val="6B7280"/>
          <w:sz w:val="20"/>
          <w:szCs w:val="20"/>
        </w:rPr>
        <w:t xml:space="preserve">SupplyXERP Master Document  ·  Version 1.0  ·  April 2026</w:t>
      </w:r>
    </w:p>
    <w:p>
      <w:pPr>
        <w:spacing w:before="80"/>
        <w:jc w:val="center"/>
      </w:pPr>
      <w:r>
        <w:rPr>
          <w:rFonts w:ascii="Calibri" w:cs="Calibri" w:eastAsia="Calibri" w:hAnsi="Calibri"/>
          <w:color w:val="6B7280"/>
          <w:sz w:val="20"/>
          <w:szCs w:val="20"/>
        </w:rPr>
        <w:t xml:space="preserve">CONFIDENTIAL — Open Grace AI Ltd / TechLogix UK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SupplyXERP Master Engineering &amp; Operations Document</dc:title>
  <dc:creator>Claude Sonnet 4.6 — Anthropic</dc:creator>
  <dc:description>Vision, technology stack, security, methodology, SOPs, and AI agent instructions</dc:description>
  <cp:lastModifiedBy>Un-named</cp:lastModifiedBy>
  <cp:revision>1</cp:revision>
  <dcterms:created xsi:type="dcterms:W3CDTF">2026-04-28T04:03:18.613Z</dcterms:created>
  <dcterms:modified xsi:type="dcterms:W3CDTF">2026-04-28T04:03:18.614Z</dcterms:modified>
</cp:coreProperties>
</file>

<file path=docProps/custom.xml><?xml version="1.0" encoding="utf-8"?>
<Properties xmlns="http://schemas.openxmlformats.org/officeDocument/2006/custom-properties" xmlns:vt="http://schemas.openxmlformats.org/officeDocument/2006/docPropsVTypes"/>
</file>