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1923</w:t>
            </w:r>
          </w:p>
        </w:tc>
      </w:tr>
      <w:tr w:rsidR="0086297F" w:rsidRPr="00042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Intatta</w:t>
            </w:r>
          </w:p>
        </w:tc>
      </w:tr>
      <w:tr w:rsidR="0086297F" w:rsidRPr="00042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Cremazione</w:t>
            </w:r>
          </w:p>
        </w:tc>
      </w:tr>
      <w:tr w:rsidR="0086297F" w:rsidRPr="00042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pozzetto semplice</w:t>
            </w:r>
          </w:p>
        </w:tc>
      </w:tr>
      <w:tr w:rsidR="0086297F" w:rsidRPr="00042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0,75 m</w:t>
            </w:r>
          </w:p>
        </w:tc>
      </w:tr>
      <w:tr w:rsidR="0086297F" w:rsidRPr="00042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Non registrate</w:t>
            </w:r>
          </w:p>
        </w:tc>
      </w:tr>
      <w:tr w:rsidR="0086297F" w:rsidRPr="00042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-</w:t>
            </w:r>
          </w:p>
        </w:tc>
      </w:tr>
      <w:tr w:rsidR="0086297F" w:rsidRPr="00042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-</w:t>
            </w:r>
          </w:p>
        </w:tc>
      </w:tr>
      <w:tr w:rsidR="0086297F" w:rsidRPr="00042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370B83A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>151 Tomba a cremazione</w:t>
            </w:r>
          </w:p>
          <w:p w14:paraId="76586F7F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 xml:space="preserve">A m. 6 a lev. della precedente, a m. 0,75 poggiava un dolio marcito e schiacciato che conteneva le ossa combuste (Non raccolto). </w:t>
            </w:r>
          </w:p>
          <w:p w14:paraId="39BA4097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 xml:space="preserve">Aderente al dolio: </w:t>
            </w:r>
          </w:p>
          <w:p w14:paraId="394CB899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 xml:space="preserve">un </w:t>
            </w:r>
            <w:proofErr w:type="spellStart"/>
            <w:r w:rsidRPr="00042C80">
              <w:rPr>
                <w:rFonts w:ascii="Titillium Web" w:hAnsi="Titillium Web"/>
                <w:i/>
                <w:iCs/>
              </w:rPr>
              <w:t>oinocoe</w:t>
            </w:r>
            <w:proofErr w:type="spellEnd"/>
            <w:r w:rsidRPr="00042C80">
              <w:rPr>
                <w:rFonts w:ascii="Titillium Web" w:hAnsi="Titillium Web"/>
                <w:i/>
                <w:iCs/>
              </w:rPr>
              <w:t xml:space="preserve"> a bocca trilobata, a </w:t>
            </w:r>
            <w:proofErr w:type="spellStart"/>
            <w:r w:rsidRPr="00042C80">
              <w:rPr>
                <w:rFonts w:ascii="Titillium Web" w:hAnsi="Titillium Web"/>
                <w:i/>
                <w:iCs/>
              </w:rPr>
              <w:t>ver.n</w:t>
            </w:r>
            <w:proofErr w:type="spellEnd"/>
            <w:r w:rsidRPr="00042C80">
              <w:rPr>
                <w:rFonts w:ascii="Titillium Web" w:hAnsi="Titillium Web"/>
                <w:i/>
                <w:iCs/>
              </w:rPr>
              <w:t>., intero</w:t>
            </w:r>
          </w:p>
          <w:p w14:paraId="4F5293F5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 xml:space="preserve">altro “più piccolo </w:t>
            </w:r>
            <w:proofErr w:type="gramStart"/>
            <w:r w:rsidRPr="00042C80">
              <w:rPr>
                <w:rFonts w:ascii="Titillium Web" w:hAnsi="Titillium Web"/>
                <w:i/>
                <w:iCs/>
              </w:rPr>
              <w:t>“ “</w:t>
            </w:r>
            <w:proofErr w:type="gramEnd"/>
            <w:r w:rsidRPr="00042C80">
              <w:rPr>
                <w:rFonts w:ascii="Titillium Web" w:hAnsi="Titillium Web"/>
                <w:i/>
                <w:iCs/>
              </w:rPr>
              <w:t xml:space="preserve"> “</w:t>
            </w:r>
          </w:p>
          <w:p w14:paraId="2E02F7B2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 xml:space="preserve">uno </w:t>
            </w:r>
            <w:proofErr w:type="spellStart"/>
            <w:r w:rsidRPr="00042C80">
              <w:rPr>
                <w:rFonts w:ascii="Titillium Web" w:hAnsi="Titillium Web"/>
                <w:i/>
                <w:iCs/>
              </w:rPr>
              <w:t>skyfos</w:t>
            </w:r>
            <w:proofErr w:type="spellEnd"/>
            <w:r w:rsidRPr="00042C80">
              <w:rPr>
                <w:rFonts w:ascii="Titillium Web" w:hAnsi="Titillium Web"/>
                <w:i/>
                <w:iCs/>
              </w:rPr>
              <w:t xml:space="preserve"> con piede a </w:t>
            </w:r>
            <w:proofErr w:type="spellStart"/>
            <w:r w:rsidRPr="00042C80">
              <w:rPr>
                <w:rFonts w:ascii="Titillium Web" w:hAnsi="Titillium Web"/>
                <w:i/>
                <w:iCs/>
              </w:rPr>
              <w:t>ver.n</w:t>
            </w:r>
            <w:proofErr w:type="spellEnd"/>
            <w:r w:rsidRPr="00042C80">
              <w:rPr>
                <w:rFonts w:ascii="Titillium Web" w:hAnsi="Titillium Web"/>
                <w:i/>
                <w:iCs/>
              </w:rPr>
              <w:t xml:space="preserve">. con le anse rotte e mancanti; </w:t>
            </w:r>
          </w:p>
          <w:p w14:paraId="42E52B66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 xml:space="preserve">due scodelle intere, una a ver. rossa, l’altra a vernice nera, intere. </w:t>
            </w:r>
          </w:p>
          <w:p w14:paraId="6CBEC9AF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>in più:</w:t>
            </w:r>
          </w:p>
          <w:p w14:paraId="6E4C3269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 xml:space="preserve">una tazza a v.n. frammentata, </w:t>
            </w:r>
          </w:p>
          <w:p w14:paraId="7C36DF73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 xml:space="preserve">1 piattello con </w:t>
            </w:r>
            <w:proofErr w:type="spellStart"/>
            <w:r w:rsidRPr="00042C80">
              <w:rPr>
                <w:rFonts w:ascii="Titillium Web" w:hAnsi="Titillium Web"/>
                <w:i/>
                <w:iCs/>
              </w:rPr>
              <w:t>pieduccio</w:t>
            </w:r>
            <w:proofErr w:type="spellEnd"/>
            <w:r w:rsidRPr="00042C80">
              <w:rPr>
                <w:rFonts w:ascii="Titillium Web" w:hAnsi="Titillium Web"/>
                <w:i/>
                <w:iCs/>
              </w:rPr>
              <w:t xml:space="preserve">, a v.n. in frammenti, </w:t>
            </w:r>
          </w:p>
          <w:p w14:paraId="602741FA" w14:textId="77777777" w:rsidR="0086297F" w:rsidRPr="00042C80" w:rsidRDefault="0086297F" w:rsidP="002665C6">
            <w:pPr>
              <w:rPr>
                <w:rFonts w:ascii="Titillium Web" w:hAnsi="Titillium Web"/>
                <w:i/>
                <w:iCs/>
              </w:rPr>
            </w:pPr>
            <w:r w:rsidRPr="00042C80">
              <w:rPr>
                <w:rFonts w:ascii="Titillium Web" w:hAnsi="Titillium Web"/>
                <w:i/>
                <w:iCs/>
              </w:rPr>
              <w:t>fondo di tazza a v.n.</w:t>
            </w:r>
          </w:p>
          <w:p w14:paraId="5D1AEFC2" w14:textId="77777777" w:rsidR="0086297F" w:rsidRPr="00042C80" w:rsidRDefault="0086297F" w:rsidP="002665C6">
            <w:pPr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(</w:t>
            </w:r>
            <w:r w:rsidRPr="00042C80">
              <w:rPr>
                <w:rFonts w:ascii="Titillium Web" w:hAnsi="Titillium Web"/>
                <w:smallCaps/>
              </w:rPr>
              <w:t>Proni</w:t>
            </w:r>
            <w:r w:rsidRPr="00042C80">
              <w:rPr>
                <w:rFonts w:ascii="Titillium Web" w:hAnsi="Titillium Web"/>
              </w:rPr>
              <w:t xml:space="preserve"> 1923)</w:t>
            </w:r>
          </w:p>
        </w:tc>
      </w:tr>
      <w:tr w:rsidR="0086297F" w:rsidRPr="00042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Fuori il cinerario</w:t>
            </w:r>
          </w:p>
        </w:tc>
      </w:tr>
      <w:tr w:rsidR="0086297F" w:rsidRPr="00042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Non determinabile</w:t>
            </w:r>
          </w:p>
        </w:tc>
      </w:tr>
      <w:tr w:rsidR="0086297F" w:rsidRPr="00042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Non determinabile</w:t>
            </w:r>
          </w:p>
        </w:tc>
      </w:tr>
      <w:tr w:rsidR="0086297F" w:rsidRPr="00042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</w:rPr>
              <w:t>Non determinabile</w:t>
            </w:r>
          </w:p>
        </w:tc>
      </w:tr>
      <w:tr w:rsidR="0086297F" w:rsidRPr="00042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42C80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42C80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77777777" w:rsidR="0086297F" w:rsidRPr="00042C80" w:rsidRDefault="0086297F" w:rsidP="002665C6">
            <w:pPr>
              <w:jc w:val="center"/>
              <w:rPr>
                <w:rFonts w:ascii="Titillium Web" w:hAnsi="Titillium Web"/>
              </w:rPr>
            </w:pPr>
            <w:r w:rsidRPr="00042C80">
              <w:rPr>
                <w:rFonts w:ascii="Titillium Web" w:hAnsi="Titillium Web"/>
                <w:smallCaps/>
              </w:rPr>
              <w:t>Berti</w:t>
            </w:r>
            <w:r w:rsidRPr="00042C80">
              <w:rPr>
                <w:rFonts w:ascii="Titillium Web" w:hAnsi="Titillium Web"/>
              </w:rPr>
              <w:t xml:space="preserve"> 1983, p. 46; </w:t>
            </w:r>
            <w:r w:rsidRPr="00042C80">
              <w:rPr>
                <w:rFonts w:ascii="Titillium Web" w:hAnsi="Titillium Web"/>
                <w:smallCaps/>
              </w:rPr>
              <w:t>Trevisanello</w:t>
            </w:r>
            <w:r w:rsidRPr="00042C80"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5</cp:revision>
  <dcterms:created xsi:type="dcterms:W3CDTF">2026-04-30T12:42:00Z</dcterms:created>
  <dcterms:modified xsi:type="dcterms:W3CDTF">2026-05-08T15:16:00Z</dcterms:modified>
</cp:coreProperties>
</file>