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2E7DC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2E7DCC">
        <w:rPr>
          <w:rFonts w:ascii="Titillium Web" w:hAnsi="Titillium Web"/>
          <w:b/>
          <w:bCs/>
          <w:sz w:val="28"/>
          <w:szCs w:val="24"/>
        </w:rPr>
        <w:t>Valle Trebba – Tomba 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2E7DCC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2E7DC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7DC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2E7DCC" w:rsidRDefault="001B5504" w:rsidP="003E05E5">
            <w:pPr>
              <w:jc w:val="center"/>
              <w:rPr>
                <w:rFonts w:ascii="Titillium Web" w:hAnsi="Titillium Web"/>
                <w:szCs w:val="24"/>
              </w:rPr>
            </w:pPr>
            <w:r w:rsidRPr="002E7DCC">
              <w:rPr>
                <w:rFonts w:ascii="Titillium Web" w:hAnsi="Titillium Web"/>
                <w:szCs w:val="24"/>
              </w:rPr>
              <w:t>1922</w:t>
            </w:r>
          </w:p>
        </w:tc>
      </w:tr>
      <w:tr w:rsidR="001B5504" w:rsidRPr="002E7DCC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2E7DC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7DC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4E1BC44A" w:rsidR="001B5504" w:rsidRPr="002E7DCC" w:rsidRDefault="003E05E5" w:rsidP="003E05E5">
            <w:pPr>
              <w:jc w:val="center"/>
              <w:rPr>
                <w:rFonts w:ascii="Titillium Web" w:hAnsi="Titillium Web"/>
                <w:szCs w:val="24"/>
              </w:rPr>
            </w:pPr>
            <w:r w:rsidRPr="002E7DCC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1B5504" w:rsidRPr="002E7DCC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2E7DC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7DC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1009FE3C" w:rsidR="001B5504" w:rsidRPr="002E7DCC" w:rsidRDefault="003E05E5" w:rsidP="003E05E5">
            <w:pPr>
              <w:jc w:val="center"/>
              <w:rPr>
                <w:rFonts w:ascii="Titillium Web" w:hAnsi="Titillium Web"/>
                <w:szCs w:val="24"/>
              </w:rPr>
            </w:pPr>
            <w:r w:rsidRPr="002E7DCC">
              <w:rPr>
                <w:rFonts w:ascii="Titillium Web" w:hAnsi="Titillium Web"/>
                <w:szCs w:val="24"/>
              </w:rPr>
              <w:t>C</w:t>
            </w:r>
            <w:r w:rsidR="001B5504" w:rsidRPr="002E7DCC">
              <w:rPr>
                <w:rFonts w:ascii="Titillium Web" w:hAnsi="Titillium Web"/>
                <w:szCs w:val="24"/>
              </w:rPr>
              <w:t>remazione</w:t>
            </w:r>
          </w:p>
        </w:tc>
      </w:tr>
      <w:tr w:rsidR="001B5504" w:rsidRPr="002E7DCC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2E7DC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7DC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2744FEAF" w:rsidR="001B5504" w:rsidRPr="002E7DCC" w:rsidRDefault="003E05E5" w:rsidP="003E05E5">
            <w:pPr>
              <w:jc w:val="center"/>
              <w:rPr>
                <w:rFonts w:ascii="Titillium Web" w:hAnsi="Titillium Web"/>
                <w:szCs w:val="24"/>
              </w:rPr>
            </w:pPr>
            <w:r w:rsidRPr="002E7DCC">
              <w:rPr>
                <w:rFonts w:ascii="Titillium Web" w:hAnsi="Titillium Web"/>
                <w:szCs w:val="24"/>
              </w:rPr>
              <w:t>P</w:t>
            </w:r>
            <w:r w:rsidR="001B5504" w:rsidRPr="002E7DCC">
              <w:rPr>
                <w:rFonts w:ascii="Titillium Web" w:hAnsi="Titillium Web"/>
                <w:szCs w:val="24"/>
              </w:rPr>
              <w:t xml:space="preserve">ozzetto, di forma </w:t>
            </w:r>
            <w:r w:rsidRPr="002E7DCC">
              <w:rPr>
                <w:rFonts w:ascii="Titillium Web" w:hAnsi="Titillium Web"/>
                <w:szCs w:val="24"/>
              </w:rPr>
              <w:t>non registrata</w:t>
            </w:r>
          </w:p>
        </w:tc>
      </w:tr>
      <w:tr w:rsidR="001B5504" w:rsidRPr="002E7DCC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2E7DC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7DCC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071ABF80" w:rsidR="001B5504" w:rsidRPr="002E7DCC" w:rsidRDefault="003E05E5" w:rsidP="003E05E5">
            <w:pPr>
              <w:jc w:val="center"/>
              <w:rPr>
                <w:rFonts w:ascii="Titillium Web" w:hAnsi="Titillium Web"/>
                <w:szCs w:val="24"/>
              </w:rPr>
            </w:pPr>
            <w:r w:rsidRPr="002E7DCC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2E7DCC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2E7DC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7DC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612DCF6E" w:rsidR="001B5504" w:rsidRPr="002E7DCC" w:rsidRDefault="003E05E5" w:rsidP="003E05E5">
            <w:pPr>
              <w:jc w:val="center"/>
              <w:rPr>
                <w:rFonts w:ascii="Titillium Web" w:hAnsi="Titillium Web"/>
                <w:szCs w:val="24"/>
              </w:rPr>
            </w:pPr>
            <w:r w:rsidRPr="002E7DCC">
              <w:rPr>
                <w:rFonts w:ascii="Titillium Web" w:hAnsi="Titillium Web"/>
                <w:szCs w:val="24"/>
              </w:rPr>
              <w:t>D</w:t>
            </w:r>
            <w:r w:rsidR="001B5504" w:rsidRPr="002E7DCC">
              <w:rPr>
                <w:rFonts w:ascii="Titillium Web" w:hAnsi="Titillium Web"/>
                <w:szCs w:val="24"/>
              </w:rPr>
              <w:t>imensioni non registrate</w:t>
            </w:r>
          </w:p>
        </w:tc>
      </w:tr>
      <w:tr w:rsidR="001B5504" w:rsidRPr="002E7DCC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2E7DC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7DC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762F791A" w:rsidR="001B5504" w:rsidRPr="002E7DCC" w:rsidRDefault="00920391" w:rsidP="003E05E5">
            <w:pPr>
              <w:jc w:val="center"/>
              <w:rPr>
                <w:rFonts w:ascii="Titillium Web" w:hAnsi="Titillium Web"/>
                <w:szCs w:val="24"/>
              </w:rPr>
            </w:pPr>
            <w:r w:rsidRPr="002E7DCC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2E7DCC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2E7DC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7DC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1645C96B" w:rsidR="001B5504" w:rsidRPr="002E7DCC" w:rsidRDefault="00920391" w:rsidP="003E05E5">
            <w:pPr>
              <w:jc w:val="center"/>
              <w:rPr>
                <w:rFonts w:ascii="Titillium Web" w:hAnsi="Titillium Web"/>
                <w:szCs w:val="24"/>
              </w:rPr>
            </w:pPr>
            <w:r w:rsidRPr="002E7DCC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2E7DCC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2E7DCC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7DCC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31B3843B" w:rsidR="001B5504" w:rsidRPr="002E7DCC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2E7DCC">
              <w:rPr>
                <w:rFonts w:ascii="Titillium Web" w:hAnsi="Titillium Web"/>
                <w:i/>
                <w:iCs/>
                <w:szCs w:val="24"/>
              </w:rPr>
              <w:t>Ia Tomba a cremazione.</w:t>
            </w:r>
            <w:r w:rsidRPr="002E7DCC">
              <w:rPr>
                <w:rFonts w:ascii="Titillium Web" w:hAnsi="Titillium Web"/>
                <w:i/>
                <w:iCs/>
                <w:szCs w:val="24"/>
              </w:rPr>
              <w:br/>
              <w:t>Questa prima tomba appariva alla superficie con i suoi frammenti di vasi figurati costituenti il coperchio di una kelebe attica essa pure figurata e in pezzi.</w:t>
            </w:r>
            <w:r w:rsidRPr="002E7DCC">
              <w:rPr>
                <w:rFonts w:ascii="Titillium Web" w:hAnsi="Titillium Web"/>
                <w:i/>
                <w:iCs/>
                <w:szCs w:val="24"/>
              </w:rPr>
              <w:br/>
              <w:t>I frammenti del coperchio sono disegnati in maniera maestra e appartengono alla epoca migliore della pittura vascolare attica. (V sec. a.C.).</w:t>
            </w:r>
            <w:r w:rsidRPr="002E7DCC">
              <w:rPr>
                <w:rFonts w:ascii="Titillium Web" w:hAnsi="Titillium Web"/>
                <w:i/>
                <w:iCs/>
                <w:szCs w:val="24"/>
              </w:rPr>
              <w:br/>
              <w:t>I frammenti del coperchio sono pochi il che fa supporre che qualcuno degli scavatori ne abbia già raccolto.</w:t>
            </w:r>
            <w:r w:rsidRPr="002E7DCC">
              <w:rPr>
                <w:rFonts w:ascii="Titillium Web" w:hAnsi="Titillium Web"/>
                <w:i/>
                <w:iCs/>
                <w:szCs w:val="24"/>
              </w:rPr>
              <w:br/>
              <w:t>Sotto ai detti frammenti e allargando lo scavo si rinvenne la kelebe in pezzi.</w:t>
            </w:r>
            <w:r w:rsidRPr="002E7DCC">
              <w:rPr>
                <w:rFonts w:ascii="Titillium Web" w:hAnsi="Titillium Web"/>
                <w:i/>
                <w:iCs/>
                <w:szCs w:val="24"/>
              </w:rPr>
              <w:br/>
              <w:t>Notisi che la suppellettile di questa tomba doveva essere stata posta entro un grande dolio in terracotta di impasto rossiccio e i di cui frammenti si rinvengono alla periferia della tomba.</w:t>
            </w:r>
            <w:r w:rsidRPr="002E7DCC">
              <w:rPr>
                <w:rFonts w:ascii="Titillium Web" w:hAnsi="Titillium Web"/>
                <w:i/>
                <w:iCs/>
                <w:szCs w:val="24"/>
              </w:rPr>
              <w:br/>
              <w:t>In fondo al sepolcro si rinvennero i frammenti di qualche piattello e le ceneri.</w:t>
            </w:r>
          </w:p>
        </w:tc>
      </w:tr>
      <w:tr w:rsidR="001B5504" w:rsidRPr="002E7DCC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2E7DC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7DCC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7E73CE0C" w14:textId="266A0304" w:rsidR="002E7DCC" w:rsidRPr="002E7DCC" w:rsidRDefault="002E7DCC" w:rsidP="00920391">
            <w:pPr>
              <w:jc w:val="center"/>
              <w:rPr>
                <w:rFonts w:ascii="Titillium Web" w:hAnsi="Titillium Web"/>
                <w:szCs w:val="24"/>
              </w:rPr>
            </w:pPr>
            <w:r w:rsidRPr="002E7DCC">
              <w:rPr>
                <w:rFonts w:ascii="Titillium Web" w:hAnsi="Titillium Web" w:cs="Times New Roman"/>
                <w:szCs w:val="24"/>
              </w:rPr>
              <w:t xml:space="preserve">Le ceneri erano collocate sul fondo della tomba. Risultano perduti, o verosimilmente non raccolti per il pessimo stato di conservazione, sia il probabile cinerario (n. 2*), sia i piattelli (n. 3*) Si conservano alcuni frr. del coperchio di una </w:t>
            </w:r>
            <w:proofErr w:type="spellStart"/>
            <w:r w:rsidRPr="002E7DCC">
              <w:rPr>
                <w:rFonts w:ascii="Titillium Web" w:hAnsi="Titillium Web" w:cs="Times New Roman"/>
                <w:i/>
                <w:iCs/>
                <w:szCs w:val="24"/>
              </w:rPr>
              <w:t>lekanis</w:t>
            </w:r>
            <w:proofErr w:type="spellEnd"/>
            <w:r w:rsidRPr="002E7DCC">
              <w:rPr>
                <w:rFonts w:ascii="Titillium Web" w:hAnsi="Titillium Web" w:cs="Times New Roman"/>
                <w:szCs w:val="24"/>
              </w:rPr>
              <w:t xml:space="preserve"> attica a figure rosse (n. 1).</w:t>
            </w:r>
          </w:p>
          <w:p w14:paraId="30DF6B8E" w14:textId="0E0C97C8" w:rsidR="00920391" w:rsidRPr="002E7DCC" w:rsidRDefault="001B5504" w:rsidP="00920391">
            <w:pPr>
              <w:jc w:val="center"/>
              <w:rPr>
                <w:rFonts w:ascii="Titillium Web" w:hAnsi="Titillium Web"/>
                <w:szCs w:val="24"/>
              </w:rPr>
            </w:pPr>
            <w:r w:rsidRPr="002E7DCC">
              <w:rPr>
                <w:rFonts w:ascii="Titillium Web" w:hAnsi="Titillium Web"/>
                <w:szCs w:val="24"/>
              </w:rPr>
              <w:t>1. Lekanis attica</w:t>
            </w:r>
            <w:r w:rsidR="00920391" w:rsidRPr="002E7DCC">
              <w:rPr>
                <w:rFonts w:ascii="Titillium Web" w:hAnsi="Titillium Web"/>
                <w:szCs w:val="24"/>
              </w:rPr>
              <w:t xml:space="preserve"> (</w:t>
            </w:r>
            <w:r w:rsidR="003F1DE1">
              <w:rPr>
                <w:rFonts w:ascii="Titillium Web" w:hAnsi="Titillium Web"/>
                <w:szCs w:val="24"/>
              </w:rPr>
              <w:t xml:space="preserve">IG 3095; </w:t>
            </w:r>
            <w:r w:rsidR="00920391" w:rsidRPr="002E7DCC">
              <w:rPr>
                <w:rFonts w:ascii="Titillium Web" w:hAnsi="Titillium Web"/>
                <w:szCs w:val="24"/>
              </w:rPr>
              <w:t>figure rosse)</w:t>
            </w:r>
          </w:p>
          <w:p w14:paraId="2E4BE1D7" w14:textId="3831811A" w:rsidR="00920391" w:rsidRPr="002E7DCC" w:rsidRDefault="001B5504" w:rsidP="00920391">
            <w:pPr>
              <w:jc w:val="center"/>
              <w:rPr>
                <w:rFonts w:ascii="Titillium Web" w:hAnsi="Titillium Web"/>
                <w:szCs w:val="24"/>
              </w:rPr>
            </w:pPr>
            <w:r w:rsidRPr="002E7DCC">
              <w:rPr>
                <w:rFonts w:ascii="Titillium Web" w:hAnsi="Titillium Web"/>
                <w:szCs w:val="24"/>
              </w:rPr>
              <w:t>2*. Dolio di prod. locale</w:t>
            </w:r>
            <w:r w:rsidR="00920391" w:rsidRPr="002E7DCC">
              <w:rPr>
                <w:rFonts w:ascii="Titillium Web" w:hAnsi="Titillium Web"/>
                <w:szCs w:val="24"/>
              </w:rPr>
              <w:t xml:space="preserve"> (</w:t>
            </w:r>
            <w:r w:rsidRPr="002E7DCC">
              <w:rPr>
                <w:rFonts w:ascii="Titillium Web" w:hAnsi="Titillium Web"/>
                <w:szCs w:val="24"/>
              </w:rPr>
              <w:t>ceramica grezza</w:t>
            </w:r>
            <w:r w:rsidR="00920391" w:rsidRPr="002E7DCC">
              <w:rPr>
                <w:rFonts w:ascii="Titillium Web" w:hAnsi="Titillium Web"/>
                <w:szCs w:val="24"/>
              </w:rPr>
              <w:t>?)</w:t>
            </w:r>
          </w:p>
          <w:p w14:paraId="5EE32F9C" w14:textId="062E0393" w:rsidR="001B5504" w:rsidRPr="002E7DCC" w:rsidRDefault="001B5504" w:rsidP="00920391">
            <w:pPr>
              <w:jc w:val="center"/>
              <w:rPr>
                <w:rFonts w:ascii="Titillium Web" w:hAnsi="Titillium Web"/>
                <w:i/>
                <w:iCs/>
                <w:szCs w:val="24"/>
              </w:rPr>
            </w:pPr>
            <w:r w:rsidRPr="002E7DCC">
              <w:rPr>
                <w:rFonts w:ascii="Titillium Web" w:hAnsi="Titillium Web"/>
                <w:szCs w:val="24"/>
              </w:rPr>
              <w:t>3*. «Qualche piattello»</w:t>
            </w:r>
          </w:p>
        </w:tc>
      </w:tr>
      <w:tr w:rsidR="001B5504" w:rsidRPr="002E7DCC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2E7DC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7DCC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0F148531" w:rsidR="001B5504" w:rsidRPr="002E7DCC" w:rsidRDefault="00DB34D7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2E7DCC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2E7DC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7DCC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65088B42" w:rsidR="001B5504" w:rsidRPr="002E7DC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E7DCC">
              <w:rPr>
                <w:rFonts w:ascii="Titillium Web" w:hAnsi="Titillium Web"/>
                <w:szCs w:val="24"/>
              </w:rPr>
              <w:t xml:space="preserve">La sepoltura era ben visibile in superficie al momento del ritrovamento e si presentava già sconvolta; lo scavatore aveva ipotizzato un precedente saccheggio, anche sulla base della frammentarietà del corredo. Risultano perduti, o verosimilmente non raccolti per il pessimo stato di conservazione, </w:t>
            </w:r>
            <w:r w:rsidR="002E7DCC" w:rsidRPr="002E7DCC">
              <w:rPr>
                <w:rFonts w:ascii="Titillium Web" w:hAnsi="Titillium Web"/>
                <w:szCs w:val="24"/>
              </w:rPr>
              <w:t>i materiali descritti nel GdS</w:t>
            </w:r>
          </w:p>
        </w:tc>
      </w:tr>
      <w:tr w:rsidR="001B5504" w:rsidRPr="002E7DCC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2E7DC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7DC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2E7DC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E7DCC">
              <w:rPr>
                <w:rFonts w:ascii="Titillium Web" w:hAnsi="Titillium Web"/>
                <w:szCs w:val="24"/>
              </w:rPr>
              <w:t>Non determinabile.</w:t>
            </w:r>
          </w:p>
        </w:tc>
      </w:tr>
      <w:tr w:rsidR="001B5504" w:rsidRPr="002E7DCC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2E7DC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7DC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5582D785" w:rsidR="001B5504" w:rsidRPr="002E7DCC" w:rsidRDefault="002E7DCC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E7DC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2E7DCC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2E7DC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7DC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2E7DC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E7DCC">
              <w:rPr>
                <w:rFonts w:ascii="Titillium Web" w:hAnsi="Titillium Web"/>
                <w:szCs w:val="24"/>
              </w:rPr>
              <w:t>Non determinabile.</w:t>
            </w:r>
          </w:p>
        </w:tc>
      </w:tr>
      <w:tr w:rsidR="001B5504" w:rsidRPr="002E7DCC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2E7DC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7DCC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2E7DC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E7DCC">
              <w:rPr>
                <w:rFonts w:ascii="Titillium Web" w:hAnsi="Titillium Web"/>
                <w:szCs w:val="24"/>
              </w:rPr>
              <w:t>470-460 a.C.</w:t>
            </w:r>
          </w:p>
        </w:tc>
      </w:tr>
      <w:tr w:rsidR="001B5504" w:rsidRPr="002E7DCC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2E7DC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7DCC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2E7DC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02C93">
              <w:rPr>
                <w:rFonts w:ascii="Titillium Web" w:hAnsi="Titillium Web"/>
                <w:smallCaps/>
                <w:szCs w:val="24"/>
              </w:rPr>
              <w:t>Rausa</w:t>
            </w:r>
            <w:r w:rsidRPr="002E7DCC">
              <w:rPr>
                <w:rFonts w:ascii="Titillium Web" w:hAnsi="Titillium Web"/>
                <w:szCs w:val="24"/>
              </w:rPr>
              <w:t xml:space="preserve"> 1991, p. 56; </w:t>
            </w:r>
            <w:r w:rsidRPr="00302C93">
              <w:rPr>
                <w:rFonts w:ascii="Titillium Web" w:hAnsi="Titillium Web"/>
                <w:smallCaps/>
                <w:szCs w:val="24"/>
              </w:rPr>
              <w:t>Nizzo</w:t>
            </w:r>
            <w:r w:rsidRPr="002E7DCC">
              <w:rPr>
                <w:rFonts w:ascii="Titillium Web" w:hAnsi="Titillium Web"/>
                <w:szCs w:val="24"/>
              </w:rPr>
              <w:t xml:space="preserve"> 2017, p. 53.</w:t>
            </w:r>
          </w:p>
        </w:tc>
      </w:tr>
      <w:tr w:rsidR="001B5504" w:rsidRPr="002E7DCC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2E7DCC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7DCC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2E7DCC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2E7DC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2E7DC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9024B"/>
    <w:rsid w:val="002977D7"/>
    <w:rsid w:val="002E7DCC"/>
    <w:rsid w:val="002F1500"/>
    <w:rsid w:val="00302C93"/>
    <w:rsid w:val="003E05E5"/>
    <w:rsid w:val="003F1DE1"/>
    <w:rsid w:val="00472AF4"/>
    <w:rsid w:val="005758C4"/>
    <w:rsid w:val="005B5AFF"/>
    <w:rsid w:val="0068458A"/>
    <w:rsid w:val="00710B38"/>
    <w:rsid w:val="007145BC"/>
    <w:rsid w:val="007D54CD"/>
    <w:rsid w:val="00920391"/>
    <w:rsid w:val="00942E70"/>
    <w:rsid w:val="00943EAC"/>
    <w:rsid w:val="00950348"/>
    <w:rsid w:val="00975CA9"/>
    <w:rsid w:val="00997946"/>
    <w:rsid w:val="009E4922"/>
    <w:rsid w:val="00A52A70"/>
    <w:rsid w:val="00B165C4"/>
    <w:rsid w:val="00B86B2D"/>
    <w:rsid w:val="00BE2CB2"/>
    <w:rsid w:val="00BE63CC"/>
    <w:rsid w:val="00BF212E"/>
    <w:rsid w:val="00C21EE0"/>
    <w:rsid w:val="00C30F5C"/>
    <w:rsid w:val="00CC05AF"/>
    <w:rsid w:val="00CC46E5"/>
    <w:rsid w:val="00D54723"/>
    <w:rsid w:val="00D66FEC"/>
    <w:rsid w:val="00DB1668"/>
    <w:rsid w:val="00DB34D7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17</cp:revision>
  <dcterms:created xsi:type="dcterms:W3CDTF">2026-04-28T14:33:00Z</dcterms:created>
  <dcterms:modified xsi:type="dcterms:W3CDTF">2026-05-18T07:48:00Z</dcterms:modified>
</cp:coreProperties>
</file>