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AA190B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AA190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AA190B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3E3B3802" w:rsidR="001B5504" w:rsidRPr="00AA190B" w:rsidRDefault="001933B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AA190B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495D61DF" w:rsidR="001B5504" w:rsidRPr="00AA190B" w:rsidRDefault="00BA798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/>
                <w:szCs w:val="24"/>
              </w:rPr>
              <w:t>C</w:t>
            </w:r>
            <w:r w:rsidR="001B5504" w:rsidRPr="00AA190B">
              <w:rPr>
                <w:rFonts w:ascii="Titillium Web" w:hAnsi="Titillium Web"/>
                <w:szCs w:val="24"/>
              </w:rPr>
              <w:t>remazione</w:t>
            </w:r>
          </w:p>
        </w:tc>
      </w:tr>
      <w:tr w:rsidR="001B5504" w:rsidRPr="00AA190B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13AC6AD9" w:rsidR="001B5504" w:rsidRPr="00AA190B" w:rsidRDefault="00BA798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/>
                <w:szCs w:val="24"/>
              </w:rPr>
              <w:t>Pozzetto di forma non registrata</w:t>
            </w:r>
          </w:p>
        </w:tc>
      </w:tr>
      <w:tr w:rsidR="001B5504" w:rsidRPr="00AA190B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1432475A" w:rsidR="001B5504" w:rsidRPr="00AA190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AA190B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4CA33320" w:rsidR="001B5504" w:rsidRPr="00AA190B" w:rsidRDefault="00BA798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/>
                <w:szCs w:val="24"/>
              </w:rPr>
              <w:t>D</w:t>
            </w:r>
            <w:r w:rsidR="001B5504" w:rsidRPr="00AA190B">
              <w:rPr>
                <w:rFonts w:ascii="Titillium Web" w:hAnsi="Titillium Web"/>
                <w:szCs w:val="24"/>
              </w:rPr>
              <w:t>imensioni non registrate</w:t>
            </w:r>
          </w:p>
        </w:tc>
      </w:tr>
      <w:tr w:rsidR="001B5504" w:rsidRPr="00AA190B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2BED3DC6" w:rsidR="001B5504" w:rsidRPr="00AA190B" w:rsidRDefault="00BA798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A190B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767A507" w:rsidR="001B5504" w:rsidRPr="00AA190B" w:rsidRDefault="00BA798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A190B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AA190B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16C12C31" w:rsidR="001B5504" w:rsidRPr="00AA190B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AA190B">
              <w:rPr>
                <w:rFonts w:ascii="Titillium Web" w:hAnsi="Titillium Web"/>
                <w:i/>
                <w:iCs/>
                <w:szCs w:val="24"/>
              </w:rPr>
              <w:t>Tomba 1 a cremazione</w:t>
            </w:r>
            <w:r w:rsidRPr="00AA190B">
              <w:rPr>
                <w:rFonts w:ascii="Titillium Web" w:hAnsi="Titillium Web"/>
                <w:i/>
                <w:iCs/>
                <w:szCs w:val="24"/>
              </w:rPr>
              <w:br/>
              <w:t>(non raccolta)</w:t>
            </w:r>
            <w:r w:rsidRPr="00AA190B">
              <w:rPr>
                <w:rFonts w:ascii="Titillium Web" w:hAnsi="Titillium Web"/>
                <w:i/>
                <w:iCs/>
                <w:szCs w:val="24"/>
              </w:rPr>
              <w:br/>
              <w:t>A m. 5 a ovest della tomba cremata rinvenuta il 7 corr., è apparso un dolietto liscio, marcito e in frammenti (e frugato) il quale conteneva le ceneri e 1 vasetto in frammenti: pochissimi e marciti. È a vernice nera</w:t>
            </w:r>
            <w:r w:rsidRPr="00AA190B">
              <w:rPr>
                <w:rFonts w:ascii="Titillium Web" w:hAnsi="Titillium Web"/>
                <w:i/>
                <w:iCs/>
                <w:szCs w:val="24"/>
              </w:rPr>
              <w:br/>
              <w:t>Il dolietto poggiava a m. 0,60 e nulla di esso si è potuto raccogliere.</w:t>
            </w:r>
            <w:r w:rsidRPr="00AA190B">
              <w:rPr>
                <w:rFonts w:ascii="Titillium Web" w:hAnsi="Titillium Web"/>
                <w:i/>
                <w:iCs/>
                <w:szCs w:val="24"/>
              </w:rPr>
              <w:br/>
              <w:t>Doveva contenere altri vasetti poiché all’ingiro si sono rinvenuti sparsi avanzi di cotto di vasetti a vern, nera.</w:t>
            </w:r>
            <w:r w:rsidRPr="00AA190B">
              <w:rPr>
                <w:rFonts w:ascii="Titillium Web" w:hAnsi="Titillium Web"/>
                <w:i/>
                <w:iCs/>
                <w:szCs w:val="24"/>
              </w:rPr>
              <w:br/>
              <w:t>Nulla si raccolse –</w:t>
            </w:r>
          </w:p>
        </w:tc>
      </w:tr>
      <w:tr w:rsidR="001B5504" w:rsidRPr="00AA190B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3E6A6F73" w14:textId="0AB50A2F" w:rsidR="00904AC7" w:rsidRPr="00AA190B" w:rsidRDefault="00501738" w:rsidP="00904AC7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 w:cs="Times New Roman"/>
                <w:szCs w:val="24"/>
              </w:rPr>
              <w:t xml:space="preserve">Al momento dello scavo, furono riconosciute tracce di un precedente saccheggio: il cinerario e la </w:t>
            </w:r>
            <w:r w:rsidRPr="00AA190B">
              <w:rPr>
                <w:rFonts w:ascii="Titillium Web" w:hAnsi="Titillium Web" w:cs="Times New Roman"/>
                <w:i/>
                <w:iCs/>
                <w:szCs w:val="24"/>
              </w:rPr>
              <w:t>lekythos</w:t>
            </w:r>
            <w:r w:rsidRPr="00AA190B">
              <w:rPr>
                <w:rFonts w:ascii="Titillium Web" w:hAnsi="Titillium Web" w:cs="Times New Roman"/>
                <w:szCs w:val="24"/>
              </w:rPr>
              <w:t xml:space="preserve"> (nn. 1-2*), posta al suo interno, risultavano frammentari, così come altri vasi non identificabili rinvenuti attorno alla sepoltura. Nonostante ciò, i resti cremati del defunto erano ancora conservati all’interno del cinerario. L’urna cineraria e la </w:t>
            </w:r>
            <w:r w:rsidRPr="00AA190B">
              <w:rPr>
                <w:rFonts w:ascii="Titillium Web" w:hAnsi="Titillium Web" w:cs="Times New Roman"/>
                <w:i/>
                <w:iCs/>
                <w:szCs w:val="24"/>
              </w:rPr>
              <w:t>lekythos</w:t>
            </w:r>
            <w:r w:rsidRPr="00AA190B">
              <w:rPr>
                <w:rFonts w:ascii="Titillium Web" w:hAnsi="Titillium Web" w:cs="Times New Roman"/>
                <w:szCs w:val="24"/>
              </w:rPr>
              <w:t xml:space="preserve"> non furono raccolti per il loro pessimo stato di conservazione.</w:t>
            </w:r>
          </w:p>
          <w:p w14:paraId="544994D6" w14:textId="27D37575" w:rsidR="00904AC7" w:rsidRPr="00AA190B" w:rsidRDefault="001B5504" w:rsidP="00904AC7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/>
                <w:szCs w:val="24"/>
              </w:rPr>
              <w:t xml:space="preserve">1*. Olla di produzione locale, </w:t>
            </w:r>
            <w:r w:rsidR="00904AC7" w:rsidRPr="00AA190B">
              <w:rPr>
                <w:rFonts w:ascii="Titillium Web" w:hAnsi="Titillium Web"/>
                <w:szCs w:val="24"/>
              </w:rPr>
              <w:t>(</w:t>
            </w:r>
            <w:r w:rsidRPr="00AA190B">
              <w:rPr>
                <w:rFonts w:ascii="Titillium Web" w:hAnsi="Titillium Web"/>
                <w:szCs w:val="24"/>
              </w:rPr>
              <w:t>ceramica grezza?)</w:t>
            </w:r>
          </w:p>
          <w:p w14:paraId="5EE32F9C" w14:textId="3DAB2125" w:rsidR="001B5504" w:rsidRPr="00AA190B" w:rsidRDefault="001B5504" w:rsidP="00904AC7">
            <w:pPr>
              <w:jc w:val="center"/>
              <w:rPr>
                <w:rFonts w:ascii="Titillium Web" w:hAnsi="Titillium Web"/>
                <w:i/>
                <w:iCs/>
                <w:szCs w:val="24"/>
              </w:rPr>
            </w:pPr>
            <w:r w:rsidRPr="00AA190B">
              <w:rPr>
                <w:rFonts w:ascii="Titillium Web" w:hAnsi="Titillium Web"/>
                <w:szCs w:val="24"/>
              </w:rPr>
              <w:t xml:space="preserve">2*. Lekythos aryballica attica (?) </w:t>
            </w:r>
            <w:r w:rsidR="00904AC7" w:rsidRPr="00AA190B">
              <w:rPr>
                <w:rFonts w:ascii="Titillium Web" w:hAnsi="Titillium Web"/>
                <w:szCs w:val="24"/>
              </w:rPr>
              <w:t>(vernice nera)</w:t>
            </w:r>
          </w:p>
        </w:tc>
      </w:tr>
      <w:tr w:rsidR="001B5504" w:rsidRPr="00AA190B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3127E7E6" w:rsidR="001B5504" w:rsidRPr="00AA190B" w:rsidRDefault="00E22CA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/>
                <w:szCs w:val="24"/>
              </w:rPr>
              <w:t>Attorno alla sepolture</w:t>
            </w:r>
          </w:p>
        </w:tc>
      </w:tr>
      <w:tr w:rsidR="001B5504" w:rsidRPr="00AA190B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5CB57DF4" w:rsidR="001B5504" w:rsidRPr="00AA190B" w:rsidRDefault="005B726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 w:cs="Times New Roman"/>
                <w:szCs w:val="24"/>
              </w:rPr>
              <w:t xml:space="preserve">Dal corredo sono stati espunti undici reperti inventariati nell’IG, poiché non citati nel GdS, dove si precisa che nulla venne raccolto. Non si può tuttavia escludere che parte </w:t>
            </w:r>
            <w:r w:rsidRPr="00AA190B">
              <w:rPr>
                <w:rFonts w:ascii="Titillium Web" w:hAnsi="Titillium Web" w:cs="Times New Roman"/>
                <w:szCs w:val="24"/>
              </w:rPr>
              <w:lastRenderedPageBreak/>
              <w:t>del materiale, pur rinvenuto, non sia confluito nella registrazione.</w:t>
            </w:r>
          </w:p>
        </w:tc>
      </w:tr>
      <w:tr w:rsidR="001B5504" w:rsidRPr="00AA190B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AA190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AA190B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024A6FC4" w:rsidR="001B5504" w:rsidRPr="00AA190B" w:rsidRDefault="00E22CA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A190B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AA190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AA190B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7E1FC9FD" w:rsidR="001B5504" w:rsidRPr="00AA190B" w:rsidRDefault="005B726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/>
                <w:szCs w:val="24"/>
              </w:rPr>
              <w:t>Fine</w:t>
            </w:r>
            <w:r w:rsidR="001B5504" w:rsidRPr="00AA190B">
              <w:rPr>
                <w:rFonts w:ascii="Titillium Web" w:hAnsi="Titillium Web"/>
                <w:szCs w:val="24"/>
              </w:rPr>
              <w:t xml:space="preserve"> V </w:t>
            </w:r>
            <w:r w:rsidR="00AA190B" w:rsidRPr="00AA190B">
              <w:rPr>
                <w:rFonts w:ascii="Titillium Web" w:hAnsi="Titillium Web"/>
                <w:szCs w:val="24"/>
              </w:rPr>
              <w:t xml:space="preserve">– </w:t>
            </w:r>
            <w:r w:rsidR="001B5504" w:rsidRPr="00AA190B">
              <w:rPr>
                <w:rFonts w:ascii="Titillium Web" w:hAnsi="Titillium Web"/>
                <w:szCs w:val="24"/>
              </w:rPr>
              <w:t>IV sec. a.C.</w:t>
            </w:r>
          </w:p>
        </w:tc>
      </w:tr>
      <w:tr w:rsidR="001B5504" w:rsidRPr="00AA190B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2494D9D6" w:rsidR="001B5504" w:rsidRPr="00AA190B" w:rsidRDefault="00AA190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A190B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A190B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AA190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190B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AA190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933B0"/>
    <w:rsid w:val="001B5504"/>
    <w:rsid w:val="001F2833"/>
    <w:rsid w:val="0029024B"/>
    <w:rsid w:val="002977D7"/>
    <w:rsid w:val="002F1500"/>
    <w:rsid w:val="00472AF4"/>
    <w:rsid w:val="00501738"/>
    <w:rsid w:val="005B5AFF"/>
    <w:rsid w:val="005B7262"/>
    <w:rsid w:val="0068458A"/>
    <w:rsid w:val="00710B38"/>
    <w:rsid w:val="007145BC"/>
    <w:rsid w:val="007D54CD"/>
    <w:rsid w:val="00904AC7"/>
    <w:rsid w:val="00942E70"/>
    <w:rsid w:val="00943EAC"/>
    <w:rsid w:val="00950348"/>
    <w:rsid w:val="00975CA9"/>
    <w:rsid w:val="00997946"/>
    <w:rsid w:val="009E4922"/>
    <w:rsid w:val="00A52A70"/>
    <w:rsid w:val="00AA190B"/>
    <w:rsid w:val="00B165C4"/>
    <w:rsid w:val="00B86B2D"/>
    <w:rsid w:val="00BA798F"/>
    <w:rsid w:val="00BE2CB2"/>
    <w:rsid w:val="00BE63CC"/>
    <w:rsid w:val="00BF212E"/>
    <w:rsid w:val="00C21EE0"/>
    <w:rsid w:val="00C30F5C"/>
    <w:rsid w:val="00CC05AF"/>
    <w:rsid w:val="00CC46E5"/>
    <w:rsid w:val="00D54723"/>
    <w:rsid w:val="00DB1668"/>
    <w:rsid w:val="00E0524C"/>
    <w:rsid w:val="00E2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17</cp:revision>
  <dcterms:created xsi:type="dcterms:W3CDTF">2026-04-28T14:33:00Z</dcterms:created>
  <dcterms:modified xsi:type="dcterms:W3CDTF">2026-05-15T16:54:00Z</dcterms:modified>
</cp:coreProperties>
</file>