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1001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EB374E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EB374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B374E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EB374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B374E">
              <w:rPr>
                <w:rFonts w:ascii="Titillium Web" w:hAnsi="Titillium Web"/>
                <w:szCs w:val="24"/>
              </w:rPr>
              <w:t>1928</w:t>
            </w:r>
          </w:p>
        </w:tc>
      </w:tr>
      <w:tr w:rsidR="0086297F" w:rsidRPr="00EB374E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EB374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B374E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EB374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B374E">
              <w:rPr>
                <w:rFonts w:ascii="Titillium Web" w:hAnsi="Titillium Web"/>
                <w:szCs w:val="24"/>
              </w:rPr>
              <w:t>sconvolta</w:t>
            </w:r>
          </w:p>
        </w:tc>
      </w:tr>
      <w:tr w:rsidR="0086297F" w:rsidRPr="00EB374E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EB374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B374E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EB374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B374E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EB374E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EB374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B374E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EB374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B374E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EB374E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EB374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B374E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EB374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B374E">
              <w:rPr>
                <w:rFonts w:ascii="Titillium Web" w:hAnsi="Titillium Web"/>
                <w:szCs w:val="24"/>
              </w:rPr>
              <w:t>0,37 m</w:t>
            </w:r>
          </w:p>
        </w:tc>
      </w:tr>
      <w:tr w:rsidR="0086297F" w:rsidRPr="00EB374E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EB374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B374E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EB374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B374E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EB374E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EB374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B374E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EB374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B374E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EB374E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EB374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B374E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EB374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B374E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EB374E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EB374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B374E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6005B112" w14:textId="77777777" w:rsidR="00F12EE6" w:rsidRPr="00EB374E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B374E">
              <w:rPr>
                <w:rFonts w:ascii="Titillium Web" w:hAnsi="Titillium Web"/>
                <w:i/>
                <w:iCs/>
                <w:szCs w:val="24"/>
              </w:rPr>
              <w:t>Tomba 1001 combusta?</w:t>
            </w:r>
          </w:p>
          <w:p w14:paraId="5566ED9C" w14:textId="77777777" w:rsidR="00F12EE6" w:rsidRPr="00EB374E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B374E">
              <w:rPr>
                <w:rFonts w:ascii="Titillium Web" w:hAnsi="Titillium Web"/>
                <w:i/>
                <w:iCs/>
                <w:szCs w:val="24"/>
              </w:rPr>
              <w:t>A m 0,60 a lev. del cranio della tomba 1000, a m 0,37 di profondità poggiavano:</w:t>
            </w:r>
          </w:p>
          <w:p w14:paraId="68B64CFD" w14:textId="77777777" w:rsidR="00F12EE6" w:rsidRPr="00EB374E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B374E">
              <w:rPr>
                <w:rFonts w:ascii="Titillium Web" w:hAnsi="Titillium Web"/>
                <w:i/>
                <w:iCs/>
                <w:szCs w:val="24"/>
              </w:rPr>
              <w:t>un gruppetto di piattelli e vasetti sconvolti e frammezzo e sotto ad essi si rinvennero poche ossicine combuste</w:t>
            </w:r>
          </w:p>
          <w:p w14:paraId="34B48584" w14:textId="77777777" w:rsidR="00F12EE6" w:rsidRPr="00EB374E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B374E">
              <w:rPr>
                <w:rFonts w:ascii="Titillium Web" w:hAnsi="Titillium Web"/>
                <w:i/>
                <w:iCs/>
                <w:szCs w:val="24"/>
              </w:rPr>
              <w:t>Nel gruppetto dei vasetti si raccolsero</w:t>
            </w:r>
          </w:p>
          <w:p w14:paraId="0C72D93F" w14:textId="77777777" w:rsidR="00F12EE6" w:rsidRPr="00EB374E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B374E">
              <w:rPr>
                <w:rFonts w:ascii="Titillium Web" w:hAnsi="Titillium Web"/>
                <w:i/>
                <w:iCs/>
                <w:szCs w:val="24"/>
              </w:rPr>
              <w:t>1 kotylos, troncoconico a vern. rossastra scadente; intero: era coperto da</w:t>
            </w:r>
          </w:p>
          <w:p w14:paraId="2D04F385" w14:textId="77777777" w:rsidR="00F12EE6" w:rsidRPr="00EB374E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B374E">
              <w:rPr>
                <w:rFonts w:ascii="Titillium Web" w:hAnsi="Titillium Web"/>
                <w:i/>
                <w:iCs/>
                <w:szCs w:val="24"/>
              </w:rPr>
              <w:t>1 piatto per pesce, a vern. bruno rossastra, scadente è rotto in pezzi poiché così superficiale, il paletto dell’operaio l’ha colpito</w:t>
            </w:r>
          </w:p>
          <w:p w14:paraId="31FF008C" w14:textId="77777777" w:rsidR="00F12EE6" w:rsidRPr="00EB374E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B374E">
              <w:rPr>
                <w:rFonts w:ascii="Titillium Web" w:hAnsi="Titillium Web"/>
                <w:i/>
                <w:iCs/>
                <w:szCs w:val="24"/>
              </w:rPr>
              <w:t>1 oinochoe a forma di fiasco, con disegni di testone e di spirali (a vern. diluita rossastra) è slabbrato e reca anche i segni del taglio del paletto</w:t>
            </w:r>
          </w:p>
          <w:p w14:paraId="1EC4BC6D" w14:textId="77777777" w:rsidR="00F12EE6" w:rsidRPr="00EB374E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B374E">
              <w:rPr>
                <w:rFonts w:ascii="Titillium Web" w:hAnsi="Titillium Web"/>
                <w:i/>
                <w:iCs/>
                <w:szCs w:val="24"/>
              </w:rPr>
              <w:t>1 epikisis cipolliforme a vern. bruna scadente; è frammentato nella bocca e nell’ansa</w:t>
            </w:r>
          </w:p>
          <w:p w14:paraId="7C7D5299" w14:textId="77777777" w:rsidR="00F12EE6" w:rsidRPr="00EB374E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EB374E">
              <w:rPr>
                <w:rFonts w:ascii="Titillium Web" w:hAnsi="Titillium Web"/>
                <w:i/>
                <w:iCs/>
                <w:szCs w:val="24"/>
              </w:rPr>
              <w:t>3</w:t>
            </w:r>
            <w:proofErr w:type="gramEnd"/>
            <w:r w:rsidRPr="00EB374E">
              <w:rPr>
                <w:rFonts w:ascii="Titillium Web" w:hAnsi="Titillium Web"/>
                <w:i/>
                <w:iCs/>
                <w:szCs w:val="24"/>
              </w:rPr>
              <w:t xml:space="preserve"> scodelline apode, a vern. nera scadente, diluita (una in frammenti)</w:t>
            </w:r>
          </w:p>
          <w:p w14:paraId="6ED6AFD7" w14:textId="77777777" w:rsidR="00F12EE6" w:rsidRPr="00EB374E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B374E">
              <w:rPr>
                <w:rFonts w:ascii="Titillium Web" w:hAnsi="Titillium Web"/>
                <w:i/>
                <w:iCs/>
                <w:szCs w:val="24"/>
              </w:rPr>
              <w:t>La tomba era sepolta nell’alluvione.</w:t>
            </w:r>
          </w:p>
        </w:tc>
      </w:tr>
      <w:tr w:rsidR="0086297F" w:rsidRPr="00EB374E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EB374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B374E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EB374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B374E">
              <w:rPr>
                <w:rFonts w:ascii="Titillium Web" w:hAnsi="Titillium Web"/>
                <w:szCs w:val="24"/>
              </w:rPr>
              <w:t>Gruppo di oggetti sotto cui le ceneri</w:t>
            </w:r>
          </w:p>
        </w:tc>
      </w:tr>
      <w:tr w:rsidR="0086297F" w:rsidRPr="00EB374E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EB374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B374E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EB374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B374E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EB374E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EB374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B374E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EB374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B374E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EB374E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EB374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B374E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EB374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B374E">
              <w:rPr>
                <w:rFonts w:ascii="Titillium Web" w:hAnsi="Titillium Web"/>
                <w:szCs w:val="24"/>
              </w:rPr>
              <w:t>Subadulto</w:t>
            </w:r>
          </w:p>
        </w:tc>
      </w:tr>
      <w:tr w:rsidR="0086297F" w:rsidRPr="00EB374E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EB374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B374E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3D24B97A" w14:textId="77777777" w:rsidR="00F12EE6" w:rsidRPr="00EB374E" w:rsidRDefault="00000000" w:rsidP="00EB374E">
            <w:pPr>
              <w:jc w:val="center"/>
              <w:rPr>
                <w:rFonts w:ascii="Titillium Web" w:hAnsi="Titillium Web"/>
                <w:szCs w:val="24"/>
              </w:rPr>
            </w:pPr>
            <w:r w:rsidRPr="00EB374E">
              <w:rPr>
                <w:rFonts w:ascii="Titillium Web" w:eastAsia="Titillium" w:hAnsi="Titillium Web" w:cs="Titillium"/>
                <w:smallCaps/>
                <w:szCs w:val="24"/>
              </w:rPr>
              <w:t>Timossi</w:t>
            </w:r>
            <w:r w:rsidRPr="00EB374E">
              <w:rPr>
                <w:rFonts w:ascii="Titillium Web" w:eastAsia="Titillium" w:hAnsi="Titillium Web" w:cs="Titillium"/>
                <w:szCs w:val="24"/>
              </w:rPr>
              <w:t xml:space="preserve"> 2019; </w:t>
            </w:r>
            <w:r w:rsidRPr="00EB374E">
              <w:rPr>
                <w:rFonts w:ascii="Titillium Web" w:eastAsia="Titillium" w:hAnsi="Titillium Web" w:cs="Titillium"/>
                <w:smallCaps/>
                <w:szCs w:val="24"/>
              </w:rPr>
              <w:t>Serra</w:t>
            </w:r>
            <w:r w:rsidRPr="00EB374E">
              <w:rPr>
                <w:rFonts w:ascii="Titillium Web" w:eastAsia="Titillium" w:hAnsi="Titillium Web" w:cs="Titillium"/>
                <w:szCs w:val="24"/>
              </w:rPr>
              <w:t xml:space="preserve"> 2025, p. 233</w:t>
            </w:r>
          </w:p>
        </w:tc>
      </w:tr>
    </w:tbl>
    <w:p w14:paraId="13D523A5" w14:textId="77777777" w:rsidR="00472AF4" w:rsidRPr="00042C80" w:rsidRDefault="00472AF4" w:rsidP="009F449C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533FA"/>
    <w:rsid w:val="00472AF4"/>
    <w:rsid w:val="00551AF8"/>
    <w:rsid w:val="005B5AFF"/>
    <w:rsid w:val="006162A4"/>
    <w:rsid w:val="006346F7"/>
    <w:rsid w:val="006D6EFB"/>
    <w:rsid w:val="007145BC"/>
    <w:rsid w:val="0086297F"/>
    <w:rsid w:val="009E4922"/>
    <w:rsid w:val="009F449C"/>
    <w:rsid w:val="00AB321D"/>
    <w:rsid w:val="00B165C4"/>
    <w:rsid w:val="00C21EE0"/>
    <w:rsid w:val="00D900AB"/>
    <w:rsid w:val="00D936E8"/>
    <w:rsid w:val="00E24633"/>
    <w:rsid w:val="00EB374E"/>
    <w:rsid w:val="00F12E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208</Words>
  <Characters>1191</Characters>
  <Application>Microsoft Office Word</Application>
  <DocSecurity>0</DocSecurity>
  <Lines>9</Lines>
  <Paragraphs>2</Paragraphs>
  <ScaleCrop>false</ScaleCrop>
  <Company/>
  <LinksUpToDate>false</LinksUpToDate>
  <CharactersWithSpaces>1397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8</cp:revision>
  <dcterms:created xsi:type="dcterms:W3CDTF">2026-04-30T12:42:00Z</dcterms:created>
  <dcterms:modified xsi:type="dcterms:W3CDTF">2026-05-14T11:12:00Z</dcterms:modified>
</cp:coreProperties>
</file>