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1008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64B5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64B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4B5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64B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4B56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064B5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64B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4B5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64B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4B56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064B5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64B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4B5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64B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4B5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64B5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64B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4B5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64B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4B5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64B5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64B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4B5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64B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4B56">
              <w:rPr>
                <w:rFonts w:ascii="Titillium Web" w:hAnsi="Titillium Web"/>
                <w:szCs w:val="24"/>
              </w:rPr>
              <w:t>0,76 m</w:t>
            </w:r>
          </w:p>
        </w:tc>
      </w:tr>
      <w:tr w:rsidR="0086297F" w:rsidRPr="00064B5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64B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4B5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64B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4B5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64B5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64B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4B5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64B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4B56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064B5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64B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4B5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64B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4B5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64B5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64B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4B5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5442B8C" w14:textId="77777777" w:rsidR="00707C9D" w:rsidRPr="00064B56" w:rsidRDefault="002120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64B56">
              <w:rPr>
                <w:rFonts w:ascii="Titillium Web" w:hAnsi="Titillium Web"/>
                <w:i/>
                <w:iCs/>
                <w:szCs w:val="24"/>
              </w:rPr>
              <w:t>Tomba 1008 a umazione devastata.</w:t>
            </w:r>
          </w:p>
          <w:p w14:paraId="034788FB" w14:textId="77777777" w:rsidR="00707C9D" w:rsidRPr="00064B56" w:rsidRDefault="002120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64B56">
              <w:rPr>
                <w:rFonts w:ascii="Titillium Web" w:hAnsi="Titillium Web"/>
                <w:i/>
                <w:iCs/>
                <w:szCs w:val="24"/>
              </w:rPr>
              <w:t>A m. 152 dal B, a m. 41,6 a sud del D.B., a m. 0,76 di profondità poggiava l’avanzo superiore di uno scheletro del quale resta soltanto il cranio e un poco delle braccia (parte superiore).</w:t>
            </w:r>
          </w:p>
          <w:p w14:paraId="6A5EC6F8" w14:textId="77777777" w:rsidR="00707C9D" w:rsidRPr="00064B56" w:rsidRDefault="002120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64B56">
              <w:rPr>
                <w:rFonts w:ascii="Titillium Web" w:hAnsi="Titillium Web"/>
                <w:i/>
                <w:iCs/>
                <w:szCs w:val="24"/>
              </w:rPr>
              <w:t>Era orientato da Ovest a Est (circa).</w:t>
            </w:r>
          </w:p>
          <w:p w14:paraId="5104045E" w14:textId="77777777" w:rsidR="00707C9D" w:rsidRPr="00064B56" w:rsidRDefault="002120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64B56">
              <w:rPr>
                <w:rFonts w:ascii="Titillium Web" w:hAnsi="Titillium Web"/>
                <w:i/>
                <w:iCs/>
                <w:szCs w:val="24"/>
              </w:rPr>
              <w:t>Presso lo scheletro, alcun oggetto.</w:t>
            </w:r>
          </w:p>
          <w:p w14:paraId="222866B0" w14:textId="77777777" w:rsidR="00707C9D" w:rsidRPr="00064B56" w:rsidRDefault="002120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64B56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</w:tc>
      </w:tr>
      <w:tr w:rsidR="0086297F" w:rsidRPr="00064B5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64B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4B5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64B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4B5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064B5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64B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4B5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64B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4B5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64B5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64B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4B5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64B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4B5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64B5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64B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4B5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64B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4B5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64B5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64B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4B5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2F82DEE" w14:textId="77777777" w:rsidR="00707C9D" w:rsidRPr="00064B56" w:rsidRDefault="00212086" w:rsidP="00064B56">
            <w:pPr>
              <w:jc w:val="center"/>
              <w:rPr>
                <w:rFonts w:ascii="Titillium Web" w:hAnsi="Titillium Web"/>
                <w:szCs w:val="24"/>
              </w:rPr>
            </w:pPr>
            <w:r w:rsidRPr="00064B56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064B56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45A7F"/>
    <w:rsid w:val="00064B56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07C9D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2026-05-14T11:07:00Z</dcterms:modified>
</cp:coreProperties>
</file>