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A6D0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A6D0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A6D0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A6D0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A6D0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A6D0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A6D0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A6D0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A6D0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BEA4CB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Tomba 1020 a umazione, sconvolta.</w:t>
            </w:r>
          </w:p>
          <w:p w14:paraId="16C4E86C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a m. 154 dal B, a m. 80,30 a sud del D.B, a m. 1,10 di profondità, si rinviene una tomba a umazione sconvolta. Lo scheletro è in parte disfatto; solo la testa e i piedi sono ancora in posto.</w:t>
            </w:r>
          </w:p>
          <w:p w14:paraId="1B1547A3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Sembra che l’orientamento dello scheletro sia stato nord ovest - sud est. Fra le ossa dello scheletro e presso la parte destra di esso, si rinvennero i seguenti fittili.</w:t>
            </w:r>
          </w:p>
          <w:p w14:paraId="1A69E7DF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piccola pelike a figure rosse, di disegno trasandato e inabile: è intera. Nel dritto due figure di uomini ammantati, di fronte fra loro; nel rovescio altra figura simile.</w:t>
            </w:r>
          </w:p>
          <w:p w14:paraId="6BF11D91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kotylos a vern. nera, troncoconico, in minuti frammenti</w:t>
            </w:r>
          </w:p>
          <w:p w14:paraId="1C082F6D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altro piccolo kotylos, a vern. nera, frammentato.</w:t>
            </w:r>
          </w:p>
          <w:p w14:paraId="011023DF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piatto di argilla comune, con vern. rossa: intero.</w:t>
            </w:r>
          </w:p>
          <w:p w14:paraId="633CC91F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 xml:space="preserve">1 piattello di argilla comune, giallastro, grezzo, </w:t>
            </w:r>
            <w:proofErr w:type="gramStart"/>
            <w:r w:rsidRPr="00EA6D09">
              <w:rPr>
                <w:rFonts w:ascii="Titillium Web" w:hAnsi="Titillium Web"/>
                <w:i/>
                <w:iCs/>
                <w:szCs w:val="24"/>
              </w:rPr>
              <w:t>“ “</w:t>
            </w:r>
            <w:proofErr w:type="gramEnd"/>
            <w:r w:rsidRPr="00EA6D09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2DFCA36C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ambra discoidale, con foro pervio.</w:t>
            </w:r>
          </w:p>
          <w:p w14:paraId="50164086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1 piccolo aryballos a vern. n. con fascia in rosso risparmiato che gira attorno al vaso, con i segni neri a forma di cordone: manca del beccuccio e dell’ansa.</w:t>
            </w:r>
          </w:p>
          <w:p w14:paraId="00B629CD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La tomba posava sulla sabbia.</w:t>
            </w:r>
          </w:p>
          <w:p w14:paraId="676E5E22" w14:textId="77777777" w:rsidR="00726DF1" w:rsidRPr="00EA6D09" w:rsidRDefault="004862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A6D09">
              <w:rPr>
                <w:rFonts w:ascii="Titillium Web" w:hAnsi="Titillium Web"/>
                <w:i/>
                <w:iCs/>
                <w:szCs w:val="24"/>
              </w:rPr>
              <w:t>La duna di sabbia scendendo verso sud, comincia ad allargarsi rapidamente egualmente verso levante, ove sembra si ricolleghi con un altro dosso di sabbia e diventi tutta una sola duna.</w:t>
            </w:r>
          </w:p>
        </w:tc>
      </w:tr>
      <w:tr w:rsidR="0086297F" w:rsidRPr="00EA6D0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Fianco destro e fra le ossa</w:t>
            </w:r>
          </w:p>
        </w:tc>
      </w:tr>
      <w:tr w:rsidR="0086297F" w:rsidRPr="00EA6D0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6D0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A6D0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A6D09" w14:paraId="0588946D" w14:textId="77777777" w:rsidTr="00EA6D09">
        <w:trPr>
          <w:jc w:val="center"/>
        </w:trPr>
        <w:tc>
          <w:tcPr>
            <w:tcW w:w="1650" w:type="pct"/>
            <w:tcBorders>
              <w:bottom w:val="single" w:sz="4" w:space="0" w:color="auto"/>
            </w:tcBorders>
            <w:vAlign w:val="center"/>
          </w:tcPr>
          <w:p w14:paraId="54990945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Borders>
              <w:bottom w:val="single" w:sz="4" w:space="0" w:color="auto"/>
            </w:tcBorders>
            <w:vAlign w:val="center"/>
          </w:tcPr>
          <w:p w14:paraId="0E0589EA" w14:textId="7D4DF825" w:rsidR="0086297F" w:rsidRPr="00EA6D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A6D09" w14:paraId="1FFA88A1" w14:textId="77777777" w:rsidTr="00EA6D09">
        <w:trPr>
          <w:jc w:val="center"/>
        </w:trPr>
        <w:tc>
          <w:tcPr>
            <w:tcW w:w="1650" w:type="pct"/>
            <w:tcBorders>
              <w:bottom w:val="single" w:sz="4" w:space="0" w:color="auto"/>
            </w:tcBorders>
            <w:vAlign w:val="center"/>
          </w:tcPr>
          <w:p w14:paraId="63B2D8D6" w14:textId="77777777" w:rsidR="0086297F" w:rsidRPr="00EA6D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A6D0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tcBorders>
              <w:bottom w:val="single" w:sz="4" w:space="0" w:color="auto"/>
            </w:tcBorders>
            <w:vAlign w:val="center"/>
          </w:tcPr>
          <w:p w14:paraId="101E3531" w14:textId="77777777" w:rsidR="00726DF1" w:rsidRPr="00EA6D09" w:rsidRDefault="004862A1" w:rsidP="00EA6D09">
            <w:pPr>
              <w:jc w:val="center"/>
              <w:rPr>
                <w:rFonts w:ascii="Titillium Web" w:hAnsi="Titillium Web"/>
                <w:szCs w:val="24"/>
              </w:rPr>
            </w:pPr>
            <w:r w:rsidRPr="00EA6D0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A6D0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6DF1"/>
    <w:rsid w:val="0086297F"/>
    <w:rsid w:val="009E4922"/>
    <w:rsid w:val="00AB321D"/>
    <w:rsid w:val="00B165C4"/>
    <w:rsid w:val="00C21EE0"/>
    <w:rsid w:val="00C733C3"/>
    <w:rsid w:val="00D900AB"/>
    <w:rsid w:val="00D936E8"/>
    <w:rsid w:val="00E24633"/>
    <w:rsid w:val="00EA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2026-05-14T10:08:00Z</dcterms:modified>
</cp:coreProperties>
</file>