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73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B73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B73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B73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B73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B73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73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73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73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44EBCF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Tomba 1023 - a cremazione.</w:t>
            </w:r>
          </w:p>
          <w:p w14:paraId="56171ECB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A m. 3 a sud della precedente, a m. 0,85 di profondità poggiava</w:t>
            </w:r>
          </w:p>
          <w:p w14:paraId="50052D3C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1 anfora vinaria, pontuta, grezza, completamente marcita (non raccolta) e accanto ad essa (a sud della anfora)</w:t>
            </w:r>
          </w:p>
          <w:p w14:paraId="71A52851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1 dolio di forma ovoidale, di argilla brunastra e di impasto grossolano; è grezzo e sembra intero</w:t>
            </w:r>
          </w:p>
          <w:p w14:paraId="68089D3D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Entro il dolio erano le ossa combuste</w:t>
            </w:r>
          </w:p>
          <w:p w14:paraId="2D852A11" w14:textId="77777777" w:rsidR="00D959AD" w:rsidRPr="002B73C0" w:rsidRDefault="007B68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73C0">
              <w:rPr>
                <w:rFonts w:ascii="Titillium Web" w:hAnsi="Titillium Web"/>
                <w:i/>
                <w:iCs/>
                <w:szCs w:val="24"/>
              </w:rPr>
              <w:t>Era sepolto nella sabbia pura.</w:t>
            </w:r>
          </w:p>
        </w:tc>
      </w:tr>
      <w:tr w:rsidR="0086297F" w:rsidRPr="002B73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2B73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73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73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73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73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73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73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ABA025" w14:textId="77777777" w:rsidR="00D959AD" w:rsidRPr="002B73C0" w:rsidRDefault="007B6823" w:rsidP="002B73C0">
            <w:pPr>
              <w:jc w:val="center"/>
              <w:rPr>
                <w:rFonts w:ascii="Titillium Web" w:hAnsi="Titillium Web"/>
                <w:szCs w:val="24"/>
              </w:rPr>
            </w:pPr>
            <w:r w:rsidRPr="002B73C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B73C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500F"/>
    <w:rsid w:val="002977D7"/>
    <w:rsid w:val="002B73C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959A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2026-05-14T10:06:00Z</dcterms:modified>
</cp:coreProperties>
</file>