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1025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6688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668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688B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86688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668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688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6688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668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688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6688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668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688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6688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668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688B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86688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668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688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6688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668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688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6688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668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688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6688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C47B70A" w14:textId="77777777" w:rsidR="008315E8" w:rsidRPr="0086688B" w:rsidRDefault="000A27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688B">
              <w:rPr>
                <w:rFonts w:ascii="Titillium Web" w:hAnsi="Titillium Web"/>
                <w:i/>
                <w:iCs/>
                <w:szCs w:val="24"/>
              </w:rPr>
              <w:t>Tomba 1025 a cremazione</w:t>
            </w:r>
          </w:p>
          <w:p w14:paraId="0645BBC0" w14:textId="77777777" w:rsidR="008315E8" w:rsidRPr="0086688B" w:rsidRDefault="000A27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688B">
              <w:rPr>
                <w:rFonts w:ascii="Titillium Web" w:hAnsi="Titillium Web"/>
                <w:i/>
                <w:iCs/>
                <w:szCs w:val="24"/>
              </w:rPr>
              <w:t>A m 279 dal D.B., a m 91,60 dal B, a m 1,00 di profondità poggiava (nella sabbia pura)</w:t>
            </w:r>
          </w:p>
          <w:p w14:paraId="3C40624F" w14:textId="77777777" w:rsidR="008315E8" w:rsidRPr="0086688B" w:rsidRDefault="000A27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688B">
              <w:rPr>
                <w:rFonts w:ascii="Titillium Web" w:hAnsi="Titillium Web"/>
                <w:i/>
                <w:iCs/>
                <w:szCs w:val="24"/>
              </w:rPr>
              <w:t>1 dolio di forma ovoidale, un po’ panciuto, di argilla giallastra, grezzo.</w:t>
            </w:r>
          </w:p>
          <w:p w14:paraId="0D0834F6" w14:textId="77777777" w:rsidR="008315E8" w:rsidRPr="0086688B" w:rsidRDefault="000A27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688B">
              <w:rPr>
                <w:rFonts w:ascii="Titillium Web" w:hAnsi="Titillium Web"/>
                <w:i/>
                <w:iCs/>
                <w:szCs w:val="24"/>
              </w:rPr>
              <w:t>È crinato, e leggermente frammentato nel labbro, ma ricomponibile per intero.</w:t>
            </w:r>
          </w:p>
          <w:p w14:paraId="0EE4870E" w14:textId="77777777" w:rsidR="008315E8" w:rsidRPr="0086688B" w:rsidRDefault="000A27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688B">
              <w:rPr>
                <w:rFonts w:ascii="Titillium Web" w:hAnsi="Titillium Web"/>
                <w:i/>
                <w:iCs/>
                <w:szCs w:val="24"/>
              </w:rPr>
              <w:t>Entri al dolio erano le ceneri combuste.</w:t>
            </w:r>
          </w:p>
          <w:p w14:paraId="701DD4B6" w14:textId="77777777" w:rsidR="008315E8" w:rsidRPr="0086688B" w:rsidRDefault="000A27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688B">
              <w:rPr>
                <w:rFonts w:ascii="Titillium Web" w:hAnsi="Titillium Web"/>
                <w:i/>
                <w:iCs/>
                <w:szCs w:val="24"/>
              </w:rPr>
              <w:t>Era coperto da un ciotola grande, in frammenti, a vern. nera, con impressioni di palmette.</w:t>
            </w:r>
          </w:p>
          <w:p w14:paraId="437645E6" w14:textId="77777777" w:rsidR="008315E8" w:rsidRPr="0086688B" w:rsidRDefault="000A27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688B">
              <w:rPr>
                <w:rFonts w:ascii="Titillium Web" w:hAnsi="Titillium Web"/>
                <w:i/>
                <w:iCs/>
                <w:szCs w:val="24"/>
              </w:rPr>
              <w:t>Il dolio reca traccie di una vernice scadente diluita –</w:t>
            </w:r>
          </w:p>
        </w:tc>
      </w:tr>
      <w:tr w:rsidR="0086297F" w:rsidRPr="0086688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668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688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86688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668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688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6688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668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688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6688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668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688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6688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668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688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B646518" w14:textId="77777777" w:rsidR="008315E8" w:rsidRPr="0086688B" w:rsidRDefault="000A277A" w:rsidP="0086688B">
            <w:pPr>
              <w:jc w:val="center"/>
              <w:rPr>
                <w:rFonts w:ascii="Titillium Web" w:hAnsi="Titillium Web"/>
                <w:szCs w:val="24"/>
              </w:rPr>
            </w:pPr>
            <w:r w:rsidRPr="0086688B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6688B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315E8"/>
    <w:rsid w:val="0086297F"/>
    <w:rsid w:val="0086688B"/>
    <w:rsid w:val="0090401E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2026-05-14T10:01:00Z</dcterms:modified>
</cp:coreProperties>
</file>