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67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A67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67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A67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A67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A67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67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67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67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35D01D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Tomba 1028 a cremazione</w:t>
            </w:r>
          </w:p>
          <w:p w14:paraId="3D2B79DB" w14:textId="58816321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47EEAD83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A m. 170,40 dal B, a m. 98 a sud del D.B, a m. 0,90 di profondità poggiava:</w:t>
            </w:r>
          </w:p>
          <w:p w14:paraId="2A834419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1 dolietto di forma ovoidale, di argilla cenerognola grezzo, completamente marcito.</w:t>
            </w:r>
          </w:p>
          <w:p w14:paraId="08D82DD4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Entro conteneva le sole ossa combuste.</w:t>
            </w:r>
          </w:p>
          <w:p w14:paraId="6862E113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3461858C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1 ciotola, liscia, di argilla cenere scuro, anch’essa marcita.</w:t>
            </w:r>
          </w:p>
          <w:p w14:paraId="1C4D1810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Era sepolto nella sabbia pura -</w:t>
            </w:r>
          </w:p>
          <w:p w14:paraId="54A0ED3C" w14:textId="77777777" w:rsidR="00164407" w:rsidRPr="006A6701" w:rsidRDefault="00B757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701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6A67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A67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67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67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6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67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6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70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BA0551" w14:textId="77777777" w:rsidR="00164407" w:rsidRPr="006A6701" w:rsidRDefault="00B757F0" w:rsidP="006A6701">
            <w:pPr>
              <w:jc w:val="center"/>
              <w:rPr>
                <w:rFonts w:ascii="Titillium Web" w:hAnsi="Titillium Web"/>
                <w:szCs w:val="24"/>
              </w:rPr>
            </w:pPr>
            <w:r w:rsidRPr="006A670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A670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4407"/>
    <w:rsid w:val="001C17CC"/>
    <w:rsid w:val="002977D7"/>
    <w:rsid w:val="00472AF4"/>
    <w:rsid w:val="00551AF8"/>
    <w:rsid w:val="005B5AFF"/>
    <w:rsid w:val="006162A4"/>
    <w:rsid w:val="006346F7"/>
    <w:rsid w:val="006A6701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A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2026-05-14T09:59:00Z</dcterms:modified>
</cp:coreProperties>
</file>