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F8408" w14:textId="0B5C78B4" w:rsidR="00472AF4" w:rsidRPr="00C30F5C" w:rsidRDefault="00014214" w:rsidP="001B5504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C30F5C">
        <w:rPr>
          <w:rFonts w:ascii="Titillium Web" w:hAnsi="Titillium Web"/>
          <w:b/>
          <w:bCs/>
          <w:sz w:val="28"/>
          <w:szCs w:val="24"/>
        </w:rPr>
        <w:t>Valle Trebba – Tomba 104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1B5504" w:rsidRPr="00B667EA" w14:paraId="7E897B51" w14:textId="77777777" w:rsidTr="001B5504">
        <w:trPr>
          <w:jc w:val="center"/>
        </w:trPr>
        <w:tc>
          <w:tcPr>
            <w:tcW w:w="1650" w:type="pct"/>
            <w:vAlign w:val="center"/>
          </w:tcPr>
          <w:p w14:paraId="42CC7784" w14:textId="77777777" w:rsidR="001B5504" w:rsidRPr="00B667EA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667EA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3911E4F6" w14:textId="6BFD1686" w:rsidR="001B5504" w:rsidRPr="00B667EA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B667EA">
              <w:rPr>
                <w:rFonts w:ascii="Titillium Web" w:hAnsi="Titillium Web"/>
                <w:szCs w:val="24"/>
              </w:rPr>
              <w:t>1923</w:t>
            </w:r>
          </w:p>
        </w:tc>
      </w:tr>
      <w:tr w:rsidR="001B5504" w:rsidRPr="00B667EA" w14:paraId="4120B077" w14:textId="77777777" w:rsidTr="001B5504">
        <w:trPr>
          <w:jc w:val="center"/>
        </w:trPr>
        <w:tc>
          <w:tcPr>
            <w:tcW w:w="1650" w:type="pct"/>
            <w:vAlign w:val="center"/>
          </w:tcPr>
          <w:p w14:paraId="7B4CDD57" w14:textId="77777777" w:rsidR="001B5504" w:rsidRPr="00B667EA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667EA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4ED449D1" w14:textId="67560E4F" w:rsidR="001B5504" w:rsidRPr="00B667EA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B667EA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1B5504" w:rsidRPr="00B667EA" w14:paraId="7A448E9D" w14:textId="77777777" w:rsidTr="001B5504">
        <w:trPr>
          <w:jc w:val="center"/>
        </w:trPr>
        <w:tc>
          <w:tcPr>
            <w:tcW w:w="1650" w:type="pct"/>
            <w:vAlign w:val="center"/>
          </w:tcPr>
          <w:p w14:paraId="1E1EA165" w14:textId="77777777" w:rsidR="001B5504" w:rsidRPr="00B667EA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667EA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18226334" w14:textId="6B6FE1CF" w:rsidR="001B5504" w:rsidRPr="00B667EA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B667EA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1B5504" w:rsidRPr="00B667EA" w14:paraId="31276AA4" w14:textId="77777777" w:rsidTr="001B5504">
        <w:trPr>
          <w:jc w:val="center"/>
        </w:trPr>
        <w:tc>
          <w:tcPr>
            <w:tcW w:w="1650" w:type="pct"/>
            <w:vAlign w:val="center"/>
          </w:tcPr>
          <w:p w14:paraId="33201D3D" w14:textId="77777777" w:rsidR="001B5504" w:rsidRPr="00B667EA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667EA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720E7EE7" w14:textId="3E36BEBB" w:rsidR="001B5504" w:rsidRPr="00B667EA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B667EA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1B5504" w:rsidRPr="00B667EA" w14:paraId="07337DA2" w14:textId="77777777" w:rsidTr="001B5504">
        <w:trPr>
          <w:jc w:val="center"/>
        </w:trPr>
        <w:tc>
          <w:tcPr>
            <w:tcW w:w="1650" w:type="pct"/>
            <w:vAlign w:val="center"/>
          </w:tcPr>
          <w:p w14:paraId="5032DFD5" w14:textId="77777777" w:rsidR="001B5504" w:rsidRPr="00B667EA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667EA">
              <w:rPr>
                <w:rFonts w:ascii="Titillium Web" w:hAnsi="Titillium Web"/>
                <w:smallCaps/>
                <w:szCs w:val="24"/>
              </w:rPr>
              <w:t>Profondità dal piano di campagna</w:t>
            </w:r>
          </w:p>
        </w:tc>
        <w:tc>
          <w:tcPr>
            <w:tcW w:w="3350" w:type="pct"/>
            <w:vAlign w:val="center"/>
          </w:tcPr>
          <w:p w14:paraId="4AC1C871" w14:textId="6B8139DE" w:rsidR="001B5504" w:rsidRPr="00B667EA" w:rsidRDefault="00FB1F1B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B667EA">
              <w:rPr>
                <w:rFonts w:ascii="Titillium Web" w:hAnsi="Titillium Web"/>
                <w:szCs w:val="24"/>
              </w:rPr>
              <w:t>0,45 m</w:t>
            </w:r>
          </w:p>
        </w:tc>
      </w:tr>
      <w:tr w:rsidR="001B5504" w:rsidRPr="00B667EA" w14:paraId="16F9D287" w14:textId="77777777" w:rsidTr="001B5504">
        <w:trPr>
          <w:jc w:val="center"/>
        </w:trPr>
        <w:tc>
          <w:tcPr>
            <w:tcW w:w="1650" w:type="pct"/>
            <w:vAlign w:val="center"/>
          </w:tcPr>
          <w:p w14:paraId="5D675683" w14:textId="77777777" w:rsidR="001B5504" w:rsidRPr="00B667EA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667EA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06ED54D" w14:textId="0EBDB5D9" w:rsidR="001B5504" w:rsidRPr="00B667EA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B667EA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1B5504" w:rsidRPr="00B667EA" w14:paraId="3DCDE8C5" w14:textId="77777777" w:rsidTr="001B5504">
        <w:trPr>
          <w:jc w:val="center"/>
        </w:trPr>
        <w:tc>
          <w:tcPr>
            <w:tcW w:w="1650" w:type="pct"/>
            <w:vAlign w:val="center"/>
          </w:tcPr>
          <w:p w14:paraId="090E3992" w14:textId="77777777" w:rsidR="001B5504" w:rsidRPr="00B667EA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667EA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01C3562F" w14:textId="1EF5F976" w:rsidR="001B5504" w:rsidRPr="00B667EA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B667EA">
              <w:rPr>
                <w:rFonts w:ascii="Titillium Web" w:hAnsi="Titillium Web"/>
                <w:szCs w:val="24"/>
              </w:rPr>
              <w:t>W-E</w:t>
            </w:r>
          </w:p>
        </w:tc>
      </w:tr>
      <w:tr w:rsidR="001B5504" w:rsidRPr="00B667EA" w14:paraId="5978151F" w14:textId="77777777" w:rsidTr="001B5504">
        <w:trPr>
          <w:jc w:val="center"/>
        </w:trPr>
        <w:tc>
          <w:tcPr>
            <w:tcW w:w="1650" w:type="pct"/>
            <w:vAlign w:val="center"/>
          </w:tcPr>
          <w:p w14:paraId="1F67A10B" w14:textId="77777777" w:rsidR="001B5504" w:rsidRPr="00B667EA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667EA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6599D472" w14:textId="5795E3E5" w:rsidR="001B5504" w:rsidRPr="00B667EA" w:rsidRDefault="00FB1F1B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B667EA">
              <w:rPr>
                <w:rFonts w:ascii="Titillium Web" w:hAnsi="Titillium Web"/>
                <w:szCs w:val="24"/>
              </w:rPr>
              <w:t>/</w:t>
            </w:r>
          </w:p>
        </w:tc>
      </w:tr>
      <w:tr w:rsidR="001B5504" w:rsidRPr="00B667EA" w14:paraId="28E05F99" w14:textId="77777777" w:rsidTr="001B5504">
        <w:trPr>
          <w:jc w:val="center"/>
        </w:trPr>
        <w:tc>
          <w:tcPr>
            <w:tcW w:w="1650" w:type="pct"/>
            <w:vAlign w:val="center"/>
          </w:tcPr>
          <w:p w14:paraId="6ECF1BD4" w14:textId="77777777" w:rsidR="001B5504" w:rsidRPr="00B667EA" w:rsidRDefault="001B5504" w:rsidP="001F2833">
            <w:pPr>
              <w:spacing w:before="120" w:after="120"/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667EA">
              <w:rPr>
                <w:rFonts w:ascii="Titillium Web" w:hAnsi="Titillium Web"/>
                <w:smallCaps/>
                <w:szCs w:val="24"/>
              </w:rPr>
              <w:t>Giornale di scavo (GdS)</w:t>
            </w:r>
          </w:p>
        </w:tc>
        <w:tc>
          <w:tcPr>
            <w:tcW w:w="3350" w:type="pct"/>
            <w:vAlign w:val="center"/>
          </w:tcPr>
          <w:p w14:paraId="6F14C525" w14:textId="77777777" w:rsidR="003E189E" w:rsidRPr="00B667EA" w:rsidRDefault="003E189E" w:rsidP="003E189E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B667EA">
              <w:rPr>
                <w:rFonts w:ascii="Titillium Web" w:hAnsi="Titillium Web" w:cs="Times New Roman"/>
                <w:i/>
                <w:iCs/>
                <w:szCs w:val="24"/>
              </w:rPr>
              <w:t xml:space="preserve">23 maggio – </w:t>
            </w:r>
          </w:p>
          <w:p w14:paraId="0ADC0711" w14:textId="77777777" w:rsidR="003E189E" w:rsidRPr="00B667EA" w:rsidRDefault="003E189E" w:rsidP="003E189E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B667EA">
              <w:rPr>
                <w:rFonts w:ascii="Titillium Web" w:hAnsi="Titillium Web" w:cs="Times New Roman"/>
                <w:i/>
                <w:iCs/>
                <w:szCs w:val="24"/>
              </w:rPr>
              <w:t>104 Tomba – a umazione</w:t>
            </w:r>
          </w:p>
          <w:p w14:paraId="3607DCEF" w14:textId="77777777" w:rsidR="003E189E" w:rsidRPr="00B667EA" w:rsidRDefault="003E189E" w:rsidP="003E189E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B667EA">
              <w:rPr>
                <w:rFonts w:ascii="Titillium Web" w:hAnsi="Titillium Web" w:cs="Times New Roman"/>
                <w:i/>
                <w:iCs/>
                <w:szCs w:val="24"/>
              </w:rPr>
              <w:t xml:space="preserve">A m. 1 a nord della precedente, alla </w:t>
            </w:r>
            <w:proofErr w:type="spellStart"/>
            <w:r w:rsidRPr="00B667EA">
              <w:rPr>
                <w:rFonts w:ascii="Titillium Web" w:hAnsi="Titillium Web" w:cs="Times New Roman"/>
                <w:i/>
                <w:iCs/>
                <w:szCs w:val="24"/>
              </w:rPr>
              <w:t>prof.tà</w:t>
            </w:r>
            <w:proofErr w:type="spellEnd"/>
            <w:r w:rsidRPr="00B667EA">
              <w:rPr>
                <w:rFonts w:ascii="Titillium Web" w:hAnsi="Titillium Web" w:cs="Times New Roman"/>
                <w:i/>
                <w:iCs/>
                <w:szCs w:val="24"/>
              </w:rPr>
              <w:t xml:space="preserve"> di m. 0,45, appare uno scheletro orientato da </w:t>
            </w:r>
            <w:proofErr w:type="spellStart"/>
            <w:r w:rsidRPr="00B667EA">
              <w:rPr>
                <w:rFonts w:ascii="Titillium Web" w:hAnsi="Titillium Web" w:cs="Times New Roman"/>
                <w:i/>
                <w:iCs/>
                <w:szCs w:val="24"/>
              </w:rPr>
              <w:t>pon</w:t>
            </w:r>
            <w:proofErr w:type="spellEnd"/>
            <w:r w:rsidRPr="00B667EA">
              <w:rPr>
                <w:rFonts w:ascii="Titillium Web" w:hAnsi="Titillium Web" w:cs="Times New Roman"/>
                <w:i/>
                <w:iCs/>
                <w:szCs w:val="24"/>
              </w:rPr>
              <w:t>. a lev.</w:t>
            </w:r>
          </w:p>
          <w:p w14:paraId="66B39AC8" w14:textId="77777777" w:rsidR="003E189E" w:rsidRPr="00B667EA" w:rsidRDefault="003E189E" w:rsidP="003E189E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B667EA">
              <w:rPr>
                <w:rFonts w:ascii="Titillium Web" w:hAnsi="Titillium Web" w:cs="Times New Roman"/>
                <w:i/>
                <w:iCs/>
                <w:szCs w:val="24"/>
              </w:rPr>
              <w:t>Presso la testa, a destra:</w:t>
            </w:r>
          </w:p>
          <w:p w14:paraId="1345E252" w14:textId="77777777" w:rsidR="003E189E" w:rsidRPr="00B667EA" w:rsidRDefault="003E189E" w:rsidP="003E189E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B667EA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 xml:space="preserve">un piccolo </w:t>
            </w:r>
            <w:proofErr w:type="spellStart"/>
            <w:r w:rsidRPr="00B667EA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>oinocoe</w:t>
            </w:r>
            <w:proofErr w:type="spellEnd"/>
            <w:r w:rsidRPr="00B667EA">
              <w:rPr>
                <w:rFonts w:ascii="Titillium Web" w:hAnsi="Titillium Web" w:cs="Times New Roman"/>
                <w:i/>
                <w:iCs/>
                <w:szCs w:val="24"/>
              </w:rPr>
              <w:t xml:space="preserve"> figurato, senza ansa e senza bocca, (un putto che stende le braccia per prendere un </w:t>
            </w:r>
            <w:proofErr w:type="spellStart"/>
            <w:r w:rsidRPr="00B667EA">
              <w:rPr>
                <w:rFonts w:ascii="Titillium Web" w:hAnsi="Titillium Web" w:cs="Times New Roman"/>
                <w:i/>
                <w:iCs/>
                <w:szCs w:val="24"/>
              </w:rPr>
              <w:t>oinocoe</w:t>
            </w:r>
            <w:proofErr w:type="spellEnd"/>
            <w:r w:rsidRPr="00B667EA">
              <w:rPr>
                <w:rFonts w:ascii="Titillium Web" w:hAnsi="Titillium Web" w:cs="Times New Roman"/>
                <w:i/>
                <w:iCs/>
                <w:szCs w:val="24"/>
              </w:rPr>
              <w:t xml:space="preserve"> deposto in terra – </w:t>
            </w:r>
          </w:p>
          <w:p w14:paraId="1A6B7E7E" w14:textId="71FA4363" w:rsidR="001B5504" w:rsidRPr="00B667EA" w:rsidRDefault="003E189E" w:rsidP="003E189E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B667EA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 xml:space="preserve">uno </w:t>
            </w:r>
            <w:proofErr w:type="spellStart"/>
            <w:r w:rsidRPr="00B667EA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>schifos</w:t>
            </w:r>
            <w:proofErr w:type="spellEnd"/>
            <w:r w:rsidRPr="00B667EA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 xml:space="preserve"> piccolo</w:t>
            </w:r>
            <w:r w:rsidRPr="00B667EA">
              <w:rPr>
                <w:rFonts w:ascii="Titillium Web" w:hAnsi="Titillium Web" w:cs="Times New Roman"/>
                <w:i/>
                <w:iCs/>
                <w:szCs w:val="24"/>
              </w:rPr>
              <w:t xml:space="preserve"> in frammenti, con disegni di civetta e foglie di alloro, e altri frammenti insignificanti.</w:t>
            </w:r>
          </w:p>
        </w:tc>
      </w:tr>
      <w:tr w:rsidR="001B5504" w:rsidRPr="00B667EA" w14:paraId="4CA65959" w14:textId="77777777" w:rsidTr="001B5504">
        <w:trPr>
          <w:jc w:val="center"/>
        </w:trPr>
        <w:tc>
          <w:tcPr>
            <w:tcW w:w="1650" w:type="pct"/>
            <w:vAlign w:val="center"/>
          </w:tcPr>
          <w:p w14:paraId="42C0306C" w14:textId="77777777" w:rsidR="001B5504" w:rsidRPr="00B667EA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667EA">
              <w:rPr>
                <w:rFonts w:ascii="Titillium Web" w:hAnsi="Titillium Web"/>
                <w:smallCaps/>
                <w:szCs w:val="24"/>
              </w:rPr>
              <w:t>Corredo</w:t>
            </w:r>
          </w:p>
        </w:tc>
        <w:tc>
          <w:tcPr>
            <w:tcW w:w="3350" w:type="pct"/>
            <w:vAlign w:val="center"/>
          </w:tcPr>
          <w:p w14:paraId="0B15BB4A" w14:textId="77777777" w:rsidR="003107C1" w:rsidRPr="00B667EA" w:rsidRDefault="003107C1" w:rsidP="00365BF3">
            <w:pPr>
              <w:jc w:val="center"/>
              <w:rPr>
                <w:rFonts w:ascii="Titillium Web" w:hAnsi="Titillium Web" w:cs="Times New Roman"/>
                <w:szCs w:val="24"/>
              </w:rPr>
            </w:pPr>
            <w:r w:rsidRPr="00B667EA">
              <w:rPr>
                <w:rFonts w:ascii="Titillium Web" w:hAnsi="Titillium Web" w:cs="Times New Roman"/>
                <w:szCs w:val="24"/>
              </w:rPr>
              <w:t xml:space="preserve">Il corredo era collocato a </w:t>
            </w:r>
            <w:proofErr w:type="spellStart"/>
            <w:r w:rsidRPr="00B667EA">
              <w:rPr>
                <w:rFonts w:ascii="Titillium Web" w:hAnsi="Titillium Web" w:cs="Times New Roman"/>
                <w:szCs w:val="24"/>
              </w:rPr>
              <w:t>ds</w:t>
            </w:r>
            <w:proofErr w:type="spellEnd"/>
            <w:r w:rsidRPr="00B667EA">
              <w:rPr>
                <w:rFonts w:ascii="Titillium Web" w:hAnsi="Titillium Web" w:cs="Times New Roman"/>
                <w:szCs w:val="24"/>
              </w:rPr>
              <w:t xml:space="preserve">. della testa ed era costituito da soli due elementi: due vasi attici a </w:t>
            </w:r>
            <w:proofErr w:type="spellStart"/>
            <w:r w:rsidRPr="00B667EA">
              <w:rPr>
                <w:rFonts w:ascii="Titillium Web" w:hAnsi="Titillium Web" w:cs="Times New Roman"/>
                <w:szCs w:val="24"/>
              </w:rPr>
              <w:t>f.r</w:t>
            </w:r>
            <w:proofErr w:type="spellEnd"/>
            <w:r w:rsidRPr="00B667EA">
              <w:rPr>
                <w:rFonts w:ascii="Titillium Web" w:hAnsi="Titillium Web" w:cs="Times New Roman"/>
                <w:szCs w:val="24"/>
              </w:rPr>
              <w:t xml:space="preserve">., un </w:t>
            </w:r>
            <w:proofErr w:type="spellStart"/>
            <w:r w:rsidRPr="00B667EA">
              <w:rPr>
                <w:rFonts w:ascii="Titillium Web" w:hAnsi="Titillium Web" w:cs="Times New Roman"/>
                <w:i/>
                <w:iCs/>
                <w:szCs w:val="24"/>
              </w:rPr>
              <w:t>chous</w:t>
            </w:r>
            <w:proofErr w:type="spellEnd"/>
            <w:r w:rsidRPr="00B667EA">
              <w:rPr>
                <w:rFonts w:ascii="Titillium Web" w:hAnsi="Titillium Web" w:cs="Times New Roman"/>
                <w:szCs w:val="24"/>
              </w:rPr>
              <w:t xml:space="preserve"> ed un </w:t>
            </w:r>
            <w:proofErr w:type="spellStart"/>
            <w:r w:rsidRPr="00B667EA">
              <w:rPr>
                <w:rFonts w:ascii="Titillium Web" w:hAnsi="Titillium Web" w:cs="Times New Roman"/>
                <w:i/>
                <w:iCs/>
                <w:szCs w:val="24"/>
              </w:rPr>
              <w:t>glaux</w:t>
            </w:r>
            <w:proofErr w:type="spellEnd"/>
            <w:r w:rsidRPr="00B667EA">
              <w:rPr>
                <w:rFonts w:ascii="Titillium Web" w:hAnsi="Titillium Web" w:cs="Times New Roman"/>
                <w:szCs w:val="24"/>
              </w:rPr>
              <w:t xml:space="preserve"> (nn. 1-2).</w:t>
            </w:r>
          </w:p>
          <w:p w14:paraId="607E80C6" w14:textId="77777777" w:rsidR="001B5504" w:rsidRPr="00B667EA" w:rsidRDefault="003107C1" w:rsidP="00365BF3">
            <w:pPr>
              <w:jc w:val="center"/>
              <w:rPr>
                <w:rFonts w:ascii="Titillium Web" w:hAnsi="Titillium Web"/>
                <w:szCs w:val="24"/>
                <w:lang w:val="en-GB"/>
              </w:rPr>
            </w:pPr>
            <w:r w:rsidRPr="00B667EA">
              <w:rPr>
                <w:rFonts w:ascii="Titillium Web" w:hAnsi="Titillium Web"/>
                <w:szCs w:val="24"/>
                <w:lang w:val="en-GB"/>
              </w:rPr>
              <w:t xml:space="preserve">1. Chous </w:t>
            </w:r>
            <w:proofErr w:type="spellStart"/>
            <w:r w:rsidRPr="00B667EA">
              <w:rPr>
                <w:rFonts w:ascii="Titillium Web" w:hAnsi="Titillium Web"/>
                <w:szCs w:val="24"/>
                <w:lang w:val="en-GB"/>
              </w:rPr>
              <w:t>attico</w:t>
            </w:r>
            <w:proofErr w:type="spellEnd"/>
            <w:r w:rsidRPr="00B667EA">
              <w:rPr>
                <w:rFonts w:ascii="Titillium Web" w:hAnsi="Titillium Web"/>
                <w:szCs w:val="24"/>
                <w:lang w:val="en-GB"/>
              </w:rPr>
              <w:t xml:space="preserve"> (IG 20638; figure </w:t>
            </w:r>
            <w:proofErr w:type="spellStart"/>
            <w:r w:rsidRPr="00B667EA">
              <w:rPr>
                <w:rFonts w:ascii="Titillium Web" w:hAnsi="Titillium Web"/>
                <w:szCs w:val="24"/>
                <w:lang w:val="en-GB"/>
              </w:rPr>
              <w:t>rosse</w:t>
            </w:r>
            <w:proofErr w:type="spellEnd"/>
            <w:r w:rsidRPr="00B667EA">
              <w:rPr>
                <w:rFonts w:ascii="Titillium Web" w:hAnsi="Titillium Web"/>
                <w:szCs w:val="24"/>
                <w:lang w:val="en-GB"/>
              </w:rPr>
              <w:t>)</w:t>
            </w:r>
          </w:p>
          <w:p w14:paraId="5EE32F9C" w14:textId="6FFE67F8" w:rsidR="003107C1" w:rsidRPr="00B667EA" w:rsidRDefault="003107C1" w:rsidP="00365BF3">
            <w:pPr>
              <w:jc w:val="center"/>
              <w:rPr>
                <w:rFonts w:ascii="Titillium Web" w:hAnsi="Titillium Web"/>
                <w:szCs w:val="24"/>
              </w:rPr>
            </w:pPr>
            <w:r w:rsidRPr="00B667EA">
              <w:rPr>
                <w:rFonts w:ascii="Titillium Web" w:hAnsi="Titillium Web"/>
                <w:szCs w:val="24"/>
              </w:rPr>
              <w:t xml:space="preserve">2. </w:t>
            </w:r>
            <w:r w:rsidR="00365BF3" w:rsidRPr="00B667EA">
              <w:rPr>
                <w:rFonts w:ascii="Titillium Web" w:hAnsi="Titillium Web"/>
                <w:szCs w:val="24"/>
              </w:rPr>
              <w:t>Glaux attico (IG 20639; figure rosse)</w:t>
            </w:r>
          </w:p>
        </w:tc>
      </w:tr>
      <w:tr w:rsidR="001B5504" w:rsidRPr="00B667EA" w14:paraId="520D9732" w14:textId="77777777" w:rsidTr="001B5504">
        <w:trPr>
          <w:jc w:val="center"/>
        </w:trPr>
        <w:tc>
          <w:tcPr>
            <w:tcW w:w="1650" w:type="pct"/>
            <w:vAlign w:val="center"/>
          </w:tcPr>
          <w:p w14:paraId="24BE97D5" w14:textId="77777777" w:rsidR="001B5504" w:rsidRPr="00B667EA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667EA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3ED37A74" w14:textId="550BAA7E" w:rsidR="001B5504" w:rsidRPr="00B667EA" w:rsidRDefault="003107C1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B667EA">
              <w:rPr>
                <w:rFonts w:ascii="Titillium Web" w:hAnsi="Titillium Web"/>
                <w:szCs w:val="24"/>
              </w:rPr>
              <w:t>A destra della testa</w:t>
            </w:r>
          </w:p>
        </w:tc>
      </w:tr>
      <w:tr w:rsidR="001B5504" w:rsidRPr="00B667EA" w14:paraId="05ACB002" w14:textId="77777777" w:rsidTr="001B5504">
        <w:trPr>
          <w:jc w:val="center"/>
        </w:trPr>
        <w:tc>
          <w:tcPr>
            <w:tcW w:w="1650" w:type="pct"/>
            <w:vAlign w:val="center"/>
          </w:tcPr>
          <w:p w14:paraId="6E6E37F2" w14:textId="77777777" w:rsidR="001B5504" w:rsidRPr="00B667EA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667EA">
              <w:rPr>
                <w:rFonts w:ascii="Titillium Web" w:hAnsi="Titillium Web"/>
                <w:smallCaps/>
                <w:szCs w:val="24"/>
              </w:rPr>
              <w:t>Stato di conservazione e affidabilità del corredo</w:t>
            </w:r>
          </w:p>
        </w:tc>
        <w:tc>
          <w:tcPr>
            <w:tcW w:w="3350" w:type="pct"/>
            <w:vAlign w:val="center"/>
          </w:tcPr>
          <w:p w14:paraId="66E8A271" w14:textId="44B61FEF" w:rsidR="001B5504" w:rsidRPr="00B667EA" w:rsidRDefault="00B667EA" w:rsidP="00B667EA">
            <w:pPr>
              <w:spacing w:after="96"/>
              <w:contextualSpacing/>
              <w:jc w:val="center"/>
              <w:rPr>
                <w:rFonts w:ascii="Titillium Web" w:hAnsi="Titillium Web" w:cs="Times New Roman"/>
                <w:szCs w:val="24"/>
              </w:rPr>
            </w:pPr>
            <w:r w:rsidRPr="00B667EA">
              <w:rPr>
                <w:rFonts w:ascii="Titillium Web" w:hAnsi="Titillium Web" w:cs="Times New Roman"/>
                <w:szCs w:val="24"/>
              </w:rPr>
              <w:t xml:space="preserve">Dal corredo sono stati espunti </w:t>
            </w:r>
            <w:proofErr w:type="gramStart"/>
            <w:r w:rsidRPr="00B667EA">
              <w:rPr>
                <w:rFonts w:ascii="Titillium Web" w:hAnsi="Titillium Web" w:cs="Times New Roman"/>
                <w:szCs w:val="24"/>
              </w:rPr>
              <w:t>3</w:t>
            </w:r>
            <w:proofErr w:type="gramEnd"/>
            <w:r w:rsidRPr="00B667EA">
              <w:rPr>
                <w:rFonts w:ascii="Titillium Web" w:hAnsi="Titillium Web" w:cs="Times New Roman"/>
                <w:szCs w:val="24"/>
              </w:rPr>
              <w:t xml:space="preserve"> reperti inventariati nell’IG, poiché non citati nel GdS: due vasi attici a figure rosse, una </w:t>
            </w:r>
            <w:r w:rsidRPr="00B667EA">
              <w:rPr>
                <w:rFonts w:ascii="Titillium Web" w:hAnsi="Titillium Web" w:cs="Times New Roman"/>
                <w:i/>
                <w:iCs/>
                <w:szCs w:val="24"/>
              </w:rPr>
              <w:t>kylix</w:t>
            </w:r>
            <w:r w:rsidRPr="00B667EA">
              <w:rPr>
                <w:rFonts w:ascii="Titillium Web" w:hAnsi="Titillium Web" w:cs="Times New Roman"/>
                <w:szCs w:val="24"/>
              </w:rPr>
              <w:t xml:space="preserve"> ed una </w:t>
            </w:r>
            <w:proofErr w:type="spellStart"/>
            <w:r w:rsidRPr="00B667EA">
              <w:rPr>
                <w:rFonts w:ascii="Titillium Web" w:hAnsi="Titillium Web" w:cs="Times New Roman"/>
                <w:i/>
                <w:iCs/>
                <w:szCs w:val="24"/>
              </w:rPr>
              <w:t>stemless</w:t>
            </w:r>
            <w:proofErr w:type="spellEnd"/>
            <w:r w:rsidRPr="00B667EA">
              <w:rPr>
                <w:rFonts w:ascii="Titillium Web" w:hAnsi="Titillium Web" w:cs="Times New Roman"/>
                <w:i/>
                <w:iCs/>
                <w:szCs w:val="24"/>
              </w:rPr>
              <w:t xml:space="preserve"> cup</w:t>
            </w:r>
            <w:r w:rsidRPr="00B667EA">
              <w:rPr>
                <w:rFonts w:ascii="Titillium Web" w:hAnsi="Titillium Web" w:cs="Times New Roman"/>
                <w:szCs w:val="24"/>
              </w:rPr>
              <w:t>, ed una coppa di produzione locale in ceramica depurata.</w:t>
            </w:r>
          </w:p>
        </w:tc>
      </w:tr>
      <w:tr w:rsidR="001B5504" w:rsidRPr="00B667EA" w14:paraId="6E424069" w14:textId="77777777" w:rsidTr="001B5504">
        <w:trPr>
          <w:jc w:val="center"/>
        </w:trPr>
        <w:tc>
          <w:tcPr>
            <w:tcW w:w="1650" w:type="pct"/>
            <w:vAlign w:val="center"/>
          </w:tcPr>
          <w:p w14:paraId="4CE8DFDE" w14:textId="77777777" w:rsidR="001B5504" w:rsidRPr="00B667EA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667EA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04E55D8B" w14:textId="15D5D226" w:rsidR="001B5504" w:rsidRPr="00B667EA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B667EA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B667EA" w14:paraId="7C1BF645" w14:textId="77777777" w:rsidTr="001B5504">
        <w:trPr>
          <w:jc w:val="center"/>
        </w:trPr>
        <w:tc>
          <w:tcPr>
            <w:tcW w:w="1650" w:type="pct"/>
            <w:vAlign w:val="center"/>
          </w:tcPr>
          <w:p w14:paraId="7EADEEB5" w14:textId="77777777" w:rsidR="001B5504" w:rsidRPr="00B667EA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667EA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5D17FB99" w14:textId="46EBB367" w:rsidR="001B5504" w:rsidRPr="00B667EA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B667EA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B667EA" w14:paraId="498C4222" w14:textId="77777777" w:rsidTr="001B5504">
        <w:trPr>
          <w:jc w:val="center"/>
        </w:trPr>
        <w:tc>
          <w:tcPr>
            <w:tcW w:w="1650" w:type="pct"/>
            <w:vAlign w:val="center"/>
          </w:tcPr>
          <w:p w14:paraId="57C39F2A" w14:textId="77777777" w:rsidR="001B5504" w:rsidRPr="00B667EA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667EA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3FA8CB4E" w14:textId="5B4E47B7" w:rsidR="001B5504" w:rsidRPr="00B667EA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B667EA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B667EA" w14:paraId="698056B7" w14:textId="77777777" w:rsidTr="001B5504">
        <w:trPr>
          <w:jc w:val="center"/>
        </w:trPr>
        <w:tc>
          <w:tcPr>
            <w:tcW w:w="1650" w:type="pct"/>
            <w:vAlign w:val="center"/>
          </w:tcPr>
          <w:p w14:paraId="225E12C1" w14:textId="77777777" w:rsidR="001B5504" w:rsidRPr="00B667EA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667EA">
              <w:rPr>
                <w:rFonts w:ascii="Titillium Web" w:hAnsi="Titillium Web"/>
                <w:smallCaps/>
                <w:szCs w:val="24"/>
              </w:rPr>
              <w:lastRenderedPageBreak/>
              <w:t>Cronologia</w:t>
            </w:r>
          </w:p>
        </w:tc>
        <w:tc>
          <w:tcPr>
            <w:tcW w:w="3350" w:type="pct"/>
            <w:vAlign w:val="center"/>
          </w:tcPr>
          <w:p w14:paraId="440AB2F6" w14:textId="19F3DA69" w:rsidR="001B5504" w:rsidRPr="00B667EA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B667EA">
              <w:rPr>
                <w:rFonts w:ascii="Titillium Web" w:hAnsi="Titillium Web"/>
                <w:szCs w:val="24"/>
              </w:rPr>
              <w:t>450-425 a.C. circa</w:t>
            </w:r>
          </w:p>
        </w:tc>
      </w:tr>
      <w:tr w:rsidR="001B5504" w:rsidRPr="00B667EA" w14:paraId="3105DEE4" w14:textId="77777777" w:rsidTr="001B5504">
        <w:trPr>
          <w:jc w:val="center"/>
        </w:trPr>
        <w:tc>
          <w:tcPr>
            <w:tcW w:w="1650" w:type="pct"/>
            <w:vAlign w:val="center"/>
          </w:tcPr>
          <w:p w14:paraId="2DF8B210" w14:textId="77777777" w:rsidR="001B5504" w:rsidRPr="00B667EA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667EA">
              <w:rPr>
                <w:rFonts w:ascii="Titillium Web" w:hAnsi="Titillium Web"/>
                <w:smallCaps/>
                <w:szCs w:val="24"/>
              </w:rPr>
              <w:t>Bibliografia (della tomba)</w:t>
            </w:r>
          </w:p>
        </w:tc>
        <w:tc>
          <w:tcPr>
            <w:tcW w:w="3350" w:type="pct"/>
            <w:vAlign w:val="center"/>
          </w:tcPr>
          <w:p w14:paraId="38D3D101" w14:textId="67752328" w:rsidR="001B5504" w:rsidRPr="00B667EA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B667EA">
              <w:rPr>
                <w:rFonts w:ascii="Titillium Web" w:hAnsi="Titillium Web"/>
                <w:smallCaps/>
                <w:szCs w:val="24"/>
              </w:rPr>
              <w:t>Negrioli</w:t>
            </w:r>
            <w:r w:rsidRPr="00B667EA">
              <w:rPr>
                <w:rFonts w:ascii="Titillium Web" w:hAnsi="Titillium Web"/>
                <w:szCs w:val="24"/>
              </w:rPr>
              <w:t xml:space="preserve"> 1924, p. 295; </w:t>
            </w:r>
            <w:r w:rsidRPr="00B667EA">
              <w:rPr>
                <w:rFonts w:ascii="Titillium Web" w:hAnsi="Titillium Web"/>
                <w:smallCaps/>
                <w:szCs w:val="24"/>
              </w:rPr>
              <w:t>Berti</w:t>
            </w:r>
            <w:r w:rsidRPr="00B667EA">
              <w:rPr>
                <w:rFonts w:ascii="Titillium Web" w:hAnsi="Titillium Web"/>
                <w:szCs w:val="24"/>
              </w:rPr>
              <w:t xml:space="preserve"> 1991b, pp. 24-27.</w:t>
            </w:r>
          </w:p>
        </w:tc>
      </w:tr>
      <w:tr w:rsidR="001B5504" w:rsidRPr="00B667EA" w14:paraId="6887A6E3" w14:textId="77777777" w:rsidTr="001B5504">
        <w:trPr>
          <w:jc w:val="center"/>
        </w:trPr>
        <w:tc>
          <w:tcPr>
            <w:tcW w:w="1650" w:type="pct"/>
            <w:vAlign w:val="center"/>
          </w:tcPr>
          <w:p w14:paraId="4944AE43" w14:textId="77777777" w:rsidR="001B5504" w:rsidRPr="00B667EA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667EA">
              <w:rPr>
                <w:rFonts w:ascii="Titillium Web" w:hAnsi="Titillium Web"/>
                <w:smallCaps/>
                <w:szCs w:val="24"/>
              </w:rPr>
              <w:t>Link alla pubblicazione</w:t>
            </w:r>
          </w:p>
        </w:tc>
        <w:tc>
          <w:tcPr>
            <w:tcW w:w="3350" w:type="pct"/>
            <w:vAlign w:val="center"/>
          </w:tcPr>
          <w:p w14:paraId="6ADE2D95" w14:textId="5EBDA977" w:rsidR="001B5504" w:rsidRPr="00B667EA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</w:p>
        </w:tc>
      </w:tr>
    </w:tbl>
    <w:p w14:paraId="4DC97993" w14:textId="77777777" w:rsidR="001B5504" w:rsidRPr="00C30F5C" w:rsidRDefault="001B5504" w:rsidP="001B5504">
      <w:pPr>
        <w:jc w:val="center"/>
        <w:rPr>
          <w:rFonts w:ascii="Titillium Web" w:hAnsi="Titillium Web"/>
          <w:b/>
          <w:bCs/>
          <w:sz w:val="28"/>
          <w:szCs w:val="24"/>
        </w:rPr>
      </w:pPr>
    </w:p>
    <w:sectPr w:rsidR="001B5504" w:rsidRPr="00C30F5C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E35997"/>
    <w:multiLevelType w:val="hybridMultilevel"/>
    <w:tmpl w:val="C2DE6EE8"/>
    <w:lvl w:ilvl="0" w:tplc="FD9E36EE">
      <w:start w:val="1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195BB3"/>
    <w:multiLevelType w:val="hybridMultilevel"/>
    <w:tmpl w:val="6C4E81A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3980534">
    <w:abstractNumId w:val="0"/>
  </w:num>
  <w:num w:numId="2" w16cid:durableId="11396922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B2D"/>
    <w:rsid w:val="00014214"/>
    <w:rsid w:val="000D72F4"/>
    <w:rsid w:val="001B5504"/>
    <w:rsid w:val="001F2833"/>
    <w:rsid w:val="0029024B"/>
    <w:rsid w:val="002977D7"/>
    <w:rsid w:val="002F1500"/>
    <w:rsid w:val="003107C1"/>
    <w:rsid w:val="00365BF3"/>
    <w:rsid w:val="003E189E"/>
    <w:rsid w:val="00472AF4"/>
    <w:rsid w:val="00560743"/>
    <w:rsid w:val="005B5AFF"/>
    <w:rsid w:val="0068458A"/>
    <w:rsid w:val="00710B38"/>
    <w:rsid w:val="007145BC"/>
    <w:rsid w:val="007D54CD"/>
    <w:rsid w:val="00942E70"/>
    <w:rsid w:val="00943EAC"/>
    <w:rsid w:val="00950348"/>
    <w:rsid w:val="00975CA9"/>
    <w:rsid w:val="00997946"/>
    <w:rsid w:val="009E4922"/>
    <w:rsid w:val="00A52A70"/>
    <w:rsid w:val="00B165C4"/>
    <w:rsid w:val="00B667EA"/>
    <w:rsid w:val="00B86B2D"/>
    <w:rsid w:val="00BE2CB2"/>
    <w:rsid w:val="00BE63CC"/>
    <w:rsid w:val="00BF212E"/>
    <w:rsid w:val="00C21EE0"/>
    <w:rsid w:val="00C30F5C"/>
    <w:rsid w:val="00CC46E5"/>
    <w:rsid w:val="00D54723"/>
    <w:rsid w:val="00DB1668"/>
    <w:rsid w:val="00E0524C"/>
    <w:rsid w:val="00FB1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566EA0"/>
  <w15:chartTrackingRefBased/>
  <w15:docId w15:val="{475B289C-F9A1-4717-B3D6-E982B8FC7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014214"/>
  </w:style>
  <w:style w:type="paragraph" w:styleId="Titolo1">
    <w:name w:val="heading 1"/>
    <w:basedOn w:val="Normale"/>
    <w:next w:val="Normale"/>
    <w:link w:val="Titolo1Carattere"/>
    <w:uiPriority w:val="9"/>
    <w:qFormat/>
    <w:rsid w:val="00B86B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B86B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B86B2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B86B2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B86B2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B86B2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B86B2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B86B2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B86B2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B86B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B86B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B86B2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B86B2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B86B2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B86B2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B86B2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B86B2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B86B2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B86B2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B86B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B86B2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B86B2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B86B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B86B2D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B86B2D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B86B2D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B86B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B86B2D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B86B2D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014214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llegamentoipertestuale">
    <w:name w:val="Hyperlink"/>
    <w:basedOn w:val="Carpredefinitoparagrafo"/>
    <w:uiPriority w:val="99"/>
    <w:unhideWhenUsed/>
    <w:rsid w:val="00950348"/>
    <w:rPr>
      <w:color w:val="467886" w:themeColor="hyperlink"/>
      <w:u w:val="single"/>
    </w:rPr>
  </w:style>
  <w:style w:type="paragraph" w:styleId="Revisione">
    <w:name w:val="Revision"/>
    <w:hidden/>
    <w:uiPriority w:val="99"/>
    <w:semiHidden/>
    <w:rsid w:val="00710B38"/>
    <w:pPr>
      <w:spacing w:after="0"/>
      <w:jc w:val="left"/>
    </w:pPr>
  </w:style>
  <w:style w:type="character" w:styleId="Rimandocommento">
    <w:name w:val="annotation reference"/>
    <w:basedOn w:val="Carpredefinitoparagrafo"/>
    <w:uiPriority w:val="99"/>
    <w:semiHidden/>
    <w:unhideWhenUsed/>
    <w:rsid w:val="00710B38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semiHidden/>
    <w:unhideWhenUsed/>
    <w:rsid w:val="00710B38"/>
    <w:rPr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semiHidden/>
    <w:rsid w:val="00710B38"/>
    <w:rPr>
      <w:sz w:val="20"/>
      <w:szCs w:val="20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710B38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710B38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235</Words>
  <Characters>1345</Characters>
  <Application>Microsoft Office Word</Application>
  <DocSecurity>0</DocSecurity>
  <Lines>11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15</cp:revision>
  <dcterms:created xsi:type="dcterms:W3CDTF">2026-04-28T14:33:00Z</dcterms:created>
  <dcterms:modified xsi:type="dcterms:W3CDTF">2026-05-17T14:36:00Z</dcterms:modified>
</cp:coreProperties>
</file>