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1040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8085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808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85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808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850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A8085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808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85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808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85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8085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808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85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808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85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8085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808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85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808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85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8085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808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85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808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850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A8085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808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85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808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85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8085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808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85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808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85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8085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808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85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808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85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8085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808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85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8B73256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Tomba 1040 - a umazione, con calce -</w:t>
            </w:r>
          </w:p>
          <w:p w14:paraId="3712EF79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A m. 164,70 dal B, a m. 110,60 a sud del D.B, a m. 1,05 di profondità poggiava una tomba a</w:t>
            </w:r>
          </w:p>
          <w:p w14:paraId="6C79D3D0" w14:textId="3754E6CD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 xml:space="preserve">umazione. Lo scheletro è orientato da nord - ovest a sud </w:t>
            </w:r>
            <w:r w:rsidR="00A80850" w:rsidRPr="00A80850">
              <w:rPr>
                <w:rFonts w:ascii="Titillium Web" w:hAnsi="Titillium Web"/>
                <w:i/>
                <w:iCs/>
                <w:szCs w:val="24"/>
              </w:rPr>
              <w:t>est:</w:t>
            </w:r>
            <w:r w:rsidRPr="00A80850">
              <w:rPr>
                <w:rFonts w:ascii="Titillium Web" w:hAnsi="Titillium Web"/>
                <w:i/>
                <w:iCs/>
                <w:szCs w:val="24"/>
              </w:rPr>
              <w:t xml:space="preserve"> gradi 340.</w:t>
            </w:r>
          </w:p>
          <w:p w14:paraId="18BFD11E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Lo scheletro e gli oggetti sono coperti da un leggero strato di calce.</w:t>
            </w:r>
          </w:p>
          <w:p w14:paraId="11C63DCC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Sullo scheletro erano deposti i vestiti e i piattelli.</w:t>
            </w:r>
          </w:p>
          <w:p w14:paraId="7D3D830A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A destra del cranio, presso la spalla erano:</w:t>
            </w:r>
          </w:p>
          <w:p w14:paraId="3BD8FEDC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1 mucchio di conchiglie comuni,</w:t>
            </w:r>
          </w:p>
          <w:p w14:paraId="0EB60AE0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pochi astragali di bue? forati.</w:t>
            </w:r>
          </w:p>
          <w:p w14:paraId="78CBFBC1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Presso la mano destra:</w:t>
            </w:r>
          </w:p>
          <w:p w14:paraId="448606C9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1 cumulo di conchiglie comuni.</w:t>
            </w:r>
          </w:p>
          <w:p w14:paraId="64BF279B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lungo la gamba sinistra</w:t>
            </w:r>
          </w:p>
          <w:p w14:paraId="145F564E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1 altro cumulo di conchiglie comuni.</w:t>
            </w:r>
          </w:p>
          <w:p w14:paraId="287E9E84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Sopra i ginocchi si raccolse</w:t>
            </w:r>
          </w:p>
          <w:p w14:paraId="1C93FFED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1 piccolo bustino a rilievo (mezzo tondo) di terracotta grezzo, di figura femminile, simile ad altri già rinvenuti in precedenti tombe. È di stampo bello e molto sciupato.</w:t>
            </w:r>
          </w:p>
          <w:p w14:paraId="74CDF5FF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Presso la mano sinistra:</w:t>
            </w:r>
          </w:p>
          <w:p w14:paraId="1C631BBE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1 balsamario fittile, tipo alabastron, grezzo, intero, e</w:t>
            </w:r>
          </w:p>
          <w:p w14:paraId="212C1547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2 minuscoli aryballoi a vern. nera, lisci, interi</w:t>
            </w:r>
          </w:p>
          <w:p w14:paraId="333902AF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 xml:space="preserve">3 oinochoai a forma ovoidale, di argilla giallastra, comune, grezzi (uno reca delle pennellate verticali attorno alla spalla a modo di costolatura e anche sulla bocca, di vernice nera </w:t>
            </w:r>
            <w:r w:rsidRPr="00A80850">
              <w:rPr>
                <w:rFonts w:ascii="Titillium Web" w:hAnsi="Titillium Web"/>
                <w:i/>
                <w:iCs/>
                <w:szCs w:val="24"/>
              </w:rPr>
              <w:lastRenderedPageBreak/>
              <w:t>scadente. Ha l’ansa in frammenti: gli altri due mancano della bocca e dell’ansa.</w:t>
            </w:r>
          </w:p>
          <w:p w14:paraId="2D28CEC3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Sullo scheletro si raccolsero i seguenti fittili:</w:t>
            </w:r>
          </w:p>
          <w:p w14:paraId="1190EADB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1 oinochoe a forma di fiasco, con corpo sferoidale, con bocca trilobata, a vern. bruna diluita, scadentissima: intero</w:t>
            </w:r>
          </w:p>
          <w:p w14:paraId="7F8E8921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1 vasetto (nappo) a forma di bicchiere, con due anse verticali e pieduccio: è a vern. brunastra e diluita, scadentissima: è intero</w:t>
            </w:r>
          </w:p>
          <w:p w14:paraId="1A2FB253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1 kotylos piccolo, imbutiforme, a vern. nera scadente o diluita: ha un’ansa staccata.</w:t>
            </w:r>
          </w:p>
          <w:p w14:paraId="32D8CD08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3 scodelle apode, a vern. nera scadente, due delle quali con palmette impresse e una liscia. Tutte intere.</w:t>
            </w:r>
          </w:p>
          <w:p w14:paraId="423E6C32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1 piattino di argilla giallastra, grezzo, leggermente frammentato nel labbro</w:t>
            </w:r>
          </w:p>
          <w:p w14:paraId="6FC98E28" w14:textId="77777777" w:rsidR="00156F15" w:rsidRPr="00A8085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80850">
              <w:rPr>
                <w:rFonts w:ascii="Titillium Web" w:hAnsi="Titillium Web"/>
                <w:i/>
                <w:iCs/>
                <w:szCs w:val="24"/>
              </w:rPr>
              <w:t>3 piattelli con piccolo pieduccio, di argilla gialla rossastra, grezzi, interi.</w:t>
            </w:r>
          </w:p>
        </w:tc>
      </w:tr>
      <w:tr w:rsidR="0086297F" w:rsidRPr="00A8085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808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85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808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850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A8085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808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85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808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850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A8085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808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85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808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85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8085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808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85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8085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80850">
              <w:rPr>
                <w:rFonts w:ascii="Titillium Web" w:hAnsi="Titillium Web"/>
                <w:szCs w:val="24"/>
              </w:rPr>
              <w:t>Subadulto ?</w:t>
            </w:r>
          </w:p>
        </w:tc>
      </w:tr>
      <w:tr w:rsidR="0086297F" w:rsidRPr="00A8085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8085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8085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25F8620" w14:textId="77777777" w:rsidR="00156F15" w:rsidRPr="00A80850" w:rsidRDefault="00000000" w:rsidP="00A80850">
            <w:pPr>
              <w:jc w:val="center"/>
              <w:rPr>
                <w:rFonts w:ascii="Titillium Web" w:hAnsi="Titillium Web"/>
                <w:szCs w:val="24"/>
              </w:rPr>
            </w:pPr>
            <w:r w:rsidRPr="00A80850">
              <w:rPr>
                <w:rFonts w:ascii="Titillium Web" w:eastAsia="Titillium" w:hAnsi="Titillium Web" w:cs="Titillium"/>
                <w:smallCaps/>
                <w:szCs w:val="24"/>
              </w:rPr>
              <w:t>Camerin</w:t>
            </w:r>
            <w:r w:rsidRPr="00A80850">
              <w:rPr>
                <w:rFonts w:ascii="Titillium Web" w:eastAsia="Titillium" w:hAnsi="Titillium Web" w:cs="Titillium"/>
                <w:szCs w:val="24"/>
              </w:rPr>
              <w:t xml:space="preserve"> 1993a, pp. 271-272; </w:t>
            </w:r>
            <w:r w:rsidRPr="00A8085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A80850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A80850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A80850">
              <w:rPr>
                <w:rFonts w:ascii="Titillium Web" w:eastAsia="Titillium" w:hAnsi="Titillium Web" w:cs="Titillium"/>
                <w:szCs w:val="24"/>
              </w:rPr>
              <w:t xml:space="preserve"> 2025, p. 244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56F15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50477"/>
    <w:rsid w:val="009E4922"/>
    <w:rsid w:val="00A80850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2026-05-14T09:50:00Z</dcterms:modified>
</cp:coreProperties>
</file>