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9499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49499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9499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9499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9499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0,75 m</w:t>
            </w:r>
          </w:p>
        </w:tc>
      </w:tr>
      <w:tr w:rsidR="0086297F" w:rsidRPr="0049499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9499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499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9499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EB9EAB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Tomba 1046 a cremazione</w:t>
            </w:r>
          </w:p>
          <w:p w14:paraId="53330FFD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 xml:space="preserve">A m. 171 dal B, a m. 113 a sud del </w:t>
            </w:r>
            <w:proofErr w:type="gramStart"/>
            <w:r w:rsidRPr="00494992">
              <w:rPr>
                <w:rFonts w:ascii="Titillium Web" w:hAnsi="Titillium Web"/>
                <w:i/>
                <w:iCs/>
                <w:szCs w:val="24"/>
              </w:rPr>
              <w:t>D.B</w:t>
            </w:r>
            <w:proofErr w:type="gramEnd"/>
            <w:r w:rsidRPr="00494992">
              <w:rPr>
                <w:rFonts w:ascii="Titillium Web" w:hAnsi="Titillium Web"/>
                <w:i/>
                <w:iCs/>
                <w:szCs w:val="24"/>
              </w:rPr>
              <w:t>, a m. 0,75 di prof.tà poggiavano, nella sabbia alluvionale, due vasi rasenti l’uno all’altro.</w:t>
            </w:r>
          </w:p>
          <w:p w14:paraId="68F93F24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1 dolio di argilla brunastra, di impasto rozzo e male cotto, grezzo e completamente marcito.</w:t>
            </w:r>
          </w:p>
          <w:p w14:paraId="3CF826F0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Non fu raccolto. Conteneva le ossa combuste, e</w:t>
            </w:r>
          </w:p>
          <w:p w14:paraId="16FA9D62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1 scodella a ver. n. scadente, apoda con segni nel centro, di cribrazioni del tornio: è intera</w:t>
            </w:r>
          </w:p>
          <w:p w14:paraId="27746410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Il dolio era coperto da un</w:t>
            </w:r>
          </w:p>
          <w:p w14:paraId="372F7AC7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1 piatto per pesce, di argilla cenerognola, grezzo marcito.</w:t>
            </w:r>
          </w:p>
          <w:p w14:paraId="3385EA47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Non raccolto. A nord del dolio posava:</w:t>
            </w:r>
          </w:p>
          <w:p w14:paraId="3379724C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1 piccolo cratere a campana, di fabbrica italica di argilla giallastra, con disegni di testoni e girali, a vernice bruna: è leggermente slabbrato, di disegno è inabile e strapazzato.</w:t>
            </w:r>
          </w:p>
          <w:p w14:paraId="5522928B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2A5CBC88" w14:textId="77777777" w:rsidR="00782E50" w:rsidRPr="00494992" w:rsidRDefault="00F85ED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94992">
              <w:rPr>
                <w:rFonts w:ascii="Titillium Web" w:hAnsi="Titillium Web"/>
                <w:i/>
                <w:iCs/>
                <w:szCs w:val="24"/>
              </w:rPr>
              <w:t>1 scodella di argilla cenerognola liscia, grezza, intera.</w:t>
            </w:r>
          </w:p>
        </w:tc>
      </w:tr>
      <w:tr w:rsidR="0086297F" w:rsidRPr="0049499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49499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494992">
              <w:rPr>
                <w:rFonts w:ascii="Titillium Web" w:hAnsi="Titillium Web"/>
                <w:szCs w:val="24"/>
              </w:rPr>
              <w:t>Maschile ?</w:t>
            </w:r>
            <w:proofErr w:type="gramEnd"/>
          </w:p>
        </w:tc>
      </w:tr>
      <w:tr w:rsidR="0086297F" w:rsidRPr="0049499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9499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949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49499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949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9499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2B985AC" w14:textId="77777777" w:rsidR="00782E50" w:rsidRPr="00494992" w:rsidRDefault="00F85EDA" w:rsidP="00494992">
            <w:pPr>
              <w:jc w:val="center"/>
              <w:rPr>
                <w:rFonts w:ascii="Titillium Web" w:hAnsi="Titillium Web"/>
                <w:szCs w:val="24"/>
              </w:rPr>
            </w:pPr>
            <w:r w:rsidRPr="00494992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94992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94992"/>
    <w:rsid w:val="00551AF8"/>
    <w:rsid w:val="005B5AFF"/>
    <w:rsid w:val="006162A4"/>
    <w:rsid w:val="006346F7"/>
    <w:rsid w:val="006D6EFB"/>
    <w:rsid w:val="007145BC"/>
    <w:rsid w:val="00782E50"/>
    <w:rsid w:val="00855ED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2026-05-14T09:46:00Z</dcterms:modified>
</cp:coreProperties>
</file>