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1048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302B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302B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1302B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302B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1302B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1,6 m</w:t>
            </w:r>
          </w:p>
        </w:tc>
      </w:tr>
      <w:tr w:rsidR="0086297F" w:rsidRPr="001302B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2,35x1,7</w:t>
            </w:r>
          </w:p>
        </w:tc>
      </w:tr>
      <w:tr w:rsidR="0086297F" w:rsidRPr="001302B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302B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302B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E3D3848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t>Tomba 1048 a umazione, saccheggiata.</w:t>
            </w:r>
          </w:p>
          <w:p w14:paraId="6DA50E20" w14:textId="77777777" w:rsidR="006F69A3" w:rsidRPr="001302BD" w:rsidRDefault="006F69A3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01BD802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t>A m. 166,20 dal B, a m. 113,50 a sud del D.B, a m. 1,60 di profondità, poggiava una tomba con coperchio e fondo e pareti di tavole di legno.</w:t>
            </w:r>
          </w:p>
          <w:p w14:paraId="773AC4A0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t>La tomba è saccheggiata: l’orientazione dei travi lunghi della cassa è nord ovest - sud est (g. 320) Le pareti di legno della cassa misurano m. 0,24 di altezza</w:t>
            </w:r>
          </w:p>
          <w:p w14:paraId="249630BA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t>Fino da m. 0,50 prima di arrivare sopra al coperchio della tomba a cassa di legno, si era raccolto un vasetto sperduto fra la sabbia e frammenti di legno marcito del coperchio della cassa stessa e altri cocci di piattelli grezzi, comuni; il che dimostrava chiaramente che anche questa tomba era stata saccheggiata.</w:t>
            </w:r>
          </w:p>
          <w:p w14:paraId="30D81A20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1302BD">
              <w:rPr>
                <w:rFonts w:ascii="Titillium Web" w:hAnsi="Titillium Web"/>
                <w:i/>
                <w:iCs/>
                <w:szCs w:val="24"/>
              </w:rPr>
              <w:t>Infatti</w:t>
            </w:r>
            <w:proofErr w:type="gramEnd"/>
            <w:r w:rsidRPr="001302BD">
              <w:rPr>
                <w:rFonts w:ascii="Titillium Web" w:hAnsi="Titillium Web"/>
                <w:i/>
                <w:iCs/>
                <w:szCs w:val="24"/>
              </w:rPr>
              <w:t xml:space="preserve"> proseguendo lo scavo, entro la cassa di legno si era rinvenuto lo scheletro completamente sconvolto e</w:t>
            </w:r>
          </w:p>
          <w:p w14:paraId="6D6F0D32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t>1 coperchio di lekane, in frammenti, figurato con i soliti disegni di donne e figure strapiombandi e di disegno strapazzato.</w:t>
            </w:r>
          </w:p>
          <w:p w14:paraId="585A339E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t>Della tazza si raccolse il fondo e qualche coccio.</w:t>
            </w:r>
          </w:p>
          <w:p w14:paraId="177B295D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t>Nell’angolo sud est della tomba:</w:t>
            </w:r>
          </w:p>
          <w:p w14:paraId="6AEE9D04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t>1 grande oinochoe della solita forma di fiasco, di argilla giallo chiara, con disegni di testone e spirali: è frammentario nel collo, nell’ansa e nella bocca.</w:t>
            </w:r>
          </w:p>
          <w:p w14:paraId="5F0A8030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t>Il vasetto che si era raccolto superiormente alla tomba è</w:t>
            </w:r>
          </w:p>
          <w:p w14:paraId="30E49445" w14:textId="77777777" w:rsidR="006F69A3" w:rsidRPr="001302BD" w:rsidRDefault="00E1687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02BD">
              <w:rPr>
                <w:rFonts w:ascii="Titillium Web" w:hAnsi="Titillium Web"/>
                <w:i/>
                <w:iCs/>
                <w:szCs w:val="24"/>
              </w:rPr>
              <w:lastRenderedPageBreak/>
              <w:t>1 pisside di forma cilindrica, di argilla giallo rossiccia, grezzo e con un coperchio idem.è intera</w:t>
            </w:r>
          </w:p>
        </w:tc>
      </w:tr>
      <w:tr w:rsidR="0086297F" w:rsidRPr="001302B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In frammenti misti alle ossa del defunto</w:t>
            </w:r>
          </w:p>
        </w:tc>
      </w:tr>
      <w:tr w:rsidR="0086297F" w:rsidRPr="001302B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302B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1302BD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1302B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302B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302B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302B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02B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18E4F2" w14:textId="77777777" w:rsidR="006F69A3" w:rsidRPr="001302BD" w:rsidRDefault="00E16875" w:rsidP="001302BD">
            <w:pPr>
              <w:jc w:val="center"/>
              <w:rPr>
                <w:rFonts w:ascii="Titillium Web" w:hAnsi="Titillium Web"/>
                <w:szCs w:val="24"/>
              </w:rPr>
            </w:pPr>
            <w:r w:rsidRPr="001302B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302BD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02BD"/>
    <w:rsid w:val="001C17CC"/>
    <w:rsid w:val="002977D7"/>
    <w:rsid w:val="00472AF4"/>
    <w:rsid w:val="00551AF8"/>
    <w:rsid w:val="005B5AFF"/>
    <w:rsid w:val="006162A4"/>
    <w:rsid w:val="006346F7"/>
    <w:rsid w:val="006D6EFB"/>
    <w:rsid w:val="006F69A3"/>
    <w:rsid w:val="007145BC"/>
    <w:rsid w:val="0086297F"/>
    <w:rsid w:val="009E4922"/>
    <w:rsid w:val="00AB321D"/>
    <w:rsid w:val="00AE3ED0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2026-05-14T09:43:00Z</dcterms:modified>
</cp:coreProperties>
</file>