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105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7D7F4F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7D7F4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7F4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7D7F4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D7F4F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7D7F4F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7D7F4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7F4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7D7F4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D7F4F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1B5504" w:rsidRPr="007D7F4F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7D7F4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7F4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7D7F4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D7F4F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1B5504" w:rsidRPr="007D7F4F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7D7F4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7F4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7D7F4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D7F4F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1B5504" w:rsidRPr="007D7F4F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7D7F4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7F4F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610FE51B" w:rsidR="001B5504" w:rsidRPr="007D7F4F" w:rsidRDefault="00196216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D7F4F">
              <w:rPr>
                <w:rFonts w:ascii="Titillium Web" w:hAnsi="Titillium Web"/>
                <w:szCs w:val="24"/>
              </w:rPr>
              <w:t>1,40 m</w:t>
            </w:r>
          </w:p>
        </w:tc>
      </w:tr>
      <w:tr w:rsidR="001B5504" w:rsidRPr="007D7F4F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7D7F4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7F4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7D7F4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D7F4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7D7F4F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7D7F4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7F4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70ED11A5" w:rsidR="001B5504" w:rsidRPr="007D7F4F" w:rsidRDefault="00196216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D7F4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7D7F4F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7D7F4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7F4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51CADE4D" w:rsidR="001B5504" w:rsidRPr="007D7F4F" w:rsidRDefault="00196216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D7F4F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7D7F4F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7D7F4F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7F4F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51CE73DD" w14:textId="77777777" w:rsidR="00196216" w:rsidRPr="007D7F4F" w:rsidRDefault="00196216" w:rsidP="00196216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7D7F4F">
              <w:rPr>
                <w:rFonts w:ascii="Titillium Web" w:hAnsi="Titillium Web" w:cs="Times New Roman"/>
                <w:i/>
                <w:iCs/>
                <w:szCs w:val="24"/>
              </w:rPr>
              <w:t>105 Tomba &lt;a umazione&gt; saccheggiata.</w:t>
            </w:r>
          </w:p>
          <w:p w14:paraId="783FD659" w14:textId="77777777" w:rsidR="00196216" w:rsidRPr="007D7F4F" w:rsidRDefault="00196216" w:rsidP="00196216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7D7F4F">
              <w:rPr>
                <w:rFonts w:ascii="Titillium Web" w:hAnsi="Titillium Web" w:cs="Times New Roman"/>
                <w:i/>
                <w:iCs/>
                <w:szCs w:val="24"/>
              </w:rPr>
              <w:t xml:space="preserve">A m. 8 a nord della </w:t>
            </w:r>
            <w:r w:rsidRPr="007D7F4F">
              <w:rPr>
                <w:rFonts w:ascii="Titillium Web" w:hAnsi="Titillium Web" w:cs="Times New Roman"/>
                <w:i/>
                <w:iCs/>
                <w:strike/>
                <w:szCs w:val="24"/>
              </w:rPr>
              <w:t>58a</w:t>
            </w:r>
            <w:r w:rsidRPr="007D7F4F">
              <w:rPr>
                <w:rFonts w:ascii="Titillium Web" w:hAnsi="Titillium Web" w:cs="Times New Roman"/>
                <w:i/>
                <w:iCs/>
                <w:szCs w:val="24"/>
              </w:rPr>
              <w:t xml:space="preserve"> 102, e a m. 1,40 di </w:t>
            </w:r>
            <w:proofErr w:type="spellStart"/>
            <w:r w:rsidRPr="007D7F4F">
              <w:rPr>
                <w:rFonts w:ascii="Titillium Web" w:hAnsi="Titillium Web" w:cs="Times New Roman"/>
                <w:i/>
                <w:iCs/>
                <w:szCs w:val="24"/>
              </w:rPr>
              <w:t>prof.tà</w:t>
            </w:r>
            <w:proofErr w:type="spellEnd"/>
            <w:r w:rsidRPr="007D7F4F">
              <w:rPr>
                <w:rFonts w:ascii="Titillium Web" w:hAnsi="Titillium Web" w:cs="Times New Roman"/>
                <w:i/>
                <w:iCs/>
                <w:szCs w:val="24"/>
              </w:rPr>
              <w:t>, si rinviene l’avanzo di una tomba violata.</w:t>
            </w:r>
          </w:p>
          <w:p w14:paraId="440F1835" w14:textId="77777777" w:rsidR="00196216" w:rsidRPr="007D7F4F" w:rsidRDefault="00196216" w:rsidP="00196216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7D7F4F">
              <w:rPr>
                <w:rFonts w:ascii="Titillium Web" w:hAnsi="Titillium Web" w:cs="Times New Roman"/>
                <w:i/>
                <w:iCs/>
                <w:szCs w:val="24"/>
              </w:rPr>
              <w:t>Le ossa dello scheletro e i frammenti dei vasi sono sconvolti e gettati alla rinfusa; a posto è soltanto:</w:t>
            </w:r>
          </w:p>
          <w:p w14:paraId="1220771C" w14:textId="77777777" w:rsidR="00196216" w:rsidRPr="007D7F4F" w:rsidRDefault="00196216" w:rsidP="00196216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7D7F4F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una anfora a puntale</w:t>
            </w:r>
            <w:r w:rsidRPr="007D7F4F">
              <w:rPr>
                <w:rFonts w:ascii="Titillium Web" w:hAnsi="Titillium Web" w:cs="Times New Roman"/>
                <w:i/>
                <w:iCs/>
                <w:szCs w:val="24"/>
              </w:rPr>
              <w:t xml:space="preserve">, di terra rossa e ben cotta, piantata ritta nella sabbia; è frammentata nel collo e nelle anse </w:t>
            </w:r>
          </w:p>
          <w:p w14:paraId="02861616" w14:textId="77777777" w:rsidR="00196216" w:rsidRPr="007D7F4F" w:rsidRDefault="00196216" w:rsidP="00196216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7D7F4F">
              <w:rPr>
                <w:rFonts w:ascii="Titillium Web" w:hAnsi="Titillium Web" w:cs="Times New Roman"/>
                <w:i/>
                <w:iCs/>
                <w:szCs w:val="24"/>
              </w:rPr>
              <w:t>fra gli oggetti raccolti,</w:t>
            </w:r>
          </w:p>
          <w:p w14:paraId="6D0A0436" w14:textId="77777777" w:rsidR="00196216" w:rsidRPr="007D7F4F" w:rsidRDefault="00196216" w:rsidP="00196216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7D7F4F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una testa a basso rilievo</w:t>
            </w:r>
            <w:r w:rsidRPr="007D7F4F">
              <w:rPr>
                <w:rFonts w:ascii="Titillium Web" w:hAnsi="Titillium Web" w:cs="Times New Roman"/>
                <w:i/>
                <w:iCs/>
                <w:szCs w:val="24"/>
              </w:rPr>
              <w:t xml:space="preserve">, di terracotta eguale a quella della tomba </w:t>
            </w:r>
            <w:r w:rsidRPr="007D7F4F">
              <w:rPr>
                <w:rFonts w:ascii="Titillium Web" w:hAnsi="Titillium Web" w:cs="Times New Roman"/>
                <w:i/>
                <w:iCs/>
                <w:strike/>
                <w:szCs w:val="24"/>
              </w:rPr>
              <w:t>57</w:t>
            </w:r>
            <w:r w:rsidRPr="007D7F4F">
              <w:rPr>
                <w:rFonts w:ascii="Titillium Web" w:hAnsi="Titillium Web" w:cs="Times New Roman"/>
                <w:i/>
                <w:iCs/>
                <w:szCs w:val="24"/>
              </w:rPr>
              <w:t xml:space="preserve"> 101 (per quanto si sia rovistato il terreno</w:t>
            </w:r>
          </w:p>
          <w:p w14:paraId="34506AA1" w14:textId="056E4C80" w:rsidR="00196216" w:rsidRPr="007D7F4F" w:rsidRDefault="00196216" w:rsidP="00196216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7D7F4F">
              <w:rPr>
                <w:rFonts w:ascii="Titillium Web" w:hAnsi="Titillium Web" w:cs="Times New Roman"/>
                <w:i/>
                <w:iCs/>
                <w:szCs w:val="24"/>
              </w:rPr>
              <w:t>non è stato possibile rinvenire il resto del busto.</w:t>
            </w:r>
          </w:p>
          <w:p w14:paraId="0C177955" w14:textId="77777777" w:rsidR="00196216" w:rsidRPr="007D7F4F" w:rsidRDefault="00196216" w:rsidP="00196216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7D7F4F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 grano d’ambra</w:t>
            </w:r>
            <w:r w:rsidRPr="007D7F4F">
              <w:rPr>
                <w:rFonts w:ascii="Titillium Web" w:hAnsi="Titillium Web" w:cs="Times New Roman"/>
                <w:i/>
                <w:iCs/>
                <w:szCs w:val="24"/>
              </w:rPr>
              <w:t>, con foro pervio</w:t>
            </w:r>
          </w:p>
          <w:p w14:paraId="7B96795B" w14:textId="77777777" w:rsidR="00196216" w:rsidRPr="007D7F4F" w:rsidRDefault="00196216" w:rsidP="00196216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7D7F4F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una tazzina a v</w:t>
            </w:r>
            <w:r w:rsidRPr="007D7F4F">
              <w:rPr>
                <w:rFonts w:ascii="Titillium Web" w:hAnsi="Titillium Web" w:cs="Times New Roman"/>
                <w:i/>
                <w:iCs/>
                <w:szCs w:val="24"/>
              </w:rPr>
              <w:t>.n., liscia.</w:t>
            </w:r>
          </w:p>
          <w:p w14:paraId="56BAA333" w14:textId="77777777" w:rsidR="00196216" w:rsidRPr="007D7F4F" w:rsidRDefault="00196216" w:rsidP="00196216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7D7F4F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due piattelli</w:t>
            </w:r>
            <w:r w:rsidRPr="007D7F4F">
              <w:rPr>
                <w:rFonts w:ascii="Titillium Web" w:hAnsi="Titillium Web" w:cs="Times New Roman"/>
                <w:i/>
                <w:iCs/>
                <w:szCs w:val="24"/>
              </w:rPr>
              <w:t xml:space="preserve"> a ver. n.</w:t>
            </w:r>
          </w:p>
          <w:p w14:paraId="1A6B7E7E" w14:textId="16530F66" w:rsidR="001B5504" w:rsidRPr="007D7F4F" w:rsidRDefault="00196216" w:rsidP="00196216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7D7F4F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 vasetto a </w:t>
            </w:r>
            <w:r w:rsidRPr="007D7F4F">
              <w:rPr>
                <w:rFonts w:ascii="Titillium Web" w:hAnsi="Titillium Web" w:cs="Times New Roman"/>
                <w:i/>
                <w:iCs/>
                <w:szCs w:val="24"/>
              </w:rPr>
              <w:t>ver. n. a forma di olla, in frammenti.</w:t>
            </w:r>
          </w:p>
        </w:tc>
      </w:tr>
      <w:tr w:rsidR="001B5504" w:rsidRPr="007D7F4F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7D7F4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7F4F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470F84A3" w14:textId="77777777" w:rsidR="001B5504" w:rsidRPr="007D7F4F" w:rsidRDefault="00B5716D" w:rsidP="00A87084">
            <w:pPr>
              <w:jc w:val="center"/>
              <w:rPr>
                <w:rFonts w:ascii="Titillium Web" w:hAnsi="Titillium Web" w:cs="Times New Roman"/>
                <w:color w:val="000000" w:themeColor="text1"/>
                <w:szCs w:val="24"/>
              </w:rPr>
            </w:pPr>
            <w:r w:rsidRPr="007D7F4F">
              <w:rPr>
                <w:rFonts w:ascii="Titillium Web" w:hAnsi="Titillium Web" w:cs="Times New Roman"/>
                <w:szCs w:val="24"/>
              </w:rPr>
              <w:t xml:space="preserve">Il corredo, rinvenuto frammisto alle ossa, </w:t>
            </w:r>
            <w:r w:rsidR="001B742A" w:rsidRPr="007D7F4F">
              <w:rPr>
                <w:rFonts w:ascii="Titillium Web" w:hAnsi="Titillium Web" w:cs="Times New Roman"/>
                <w:szCs w:val="24"/>
              </w:rPr>
              <w:t xml:space="preserve">salvo l’anfora ancora in posizione (n. 8), </w:t>
            </w:r>
            <w:r w:rsidRPr="007D7F4F">
              <w:rPr>
                <w:rFonts w:ascii="Titillium Web" w:hAnsi="Titillium Web" w:cs="Times New Roman"/>
                <w:szCs w:val="24"/>
              </w:rPr>
              <w:t>comprendeva anche una piccola olla, una ciotola e due piattelli su alto piede a v.n. locale (nn. 1-7), un busto femminile</w:t>
            </w:r>
            <w:r w:rsidRPr="007D7F4F">
              <w:rPr>
                <w:rFonts w:ascii="Titillium Web" w:hAnsi="Titillium Web" w:cs="Times New Roman"/>
                <w:color w:val="000000" w:themeColor="text1"/>
                <w:szCs w:val="24"/>
              </w:rPr>
              <w:t xml:space="preserve"> in terracotta (n. 9) e un vago in ambra, attualmente perduto (n. 10*). Rimane incerta la pertinenza dei piatti locali a v.n. (nn. 3-7), in quanto se ne contano tre in più rispetto a quanto indicato dal Proni (nn. 3-7). In assenza di dati più puntuali, si è ritenuto opportuno mantenerli tutti per prudenza.</w:t>
            </w:r>
          </w:p>
          <w:p w14:paraId="17F3E125" w14:textId="224A0006" w:rsidR="000F399B" w:rsidRPr="007D7F4F" w:rsidRDefault="000F399B" w:rsidP="00A87084">
            <w:pPr>
              <w:jc w:val="center"/>
              <w:rPr>
                <w:rFonts w:ascii="Titillium Web" w:hAnsi="Titillium Web" w:cs="Times New Roman"/>
                <w:color w:val="000000" w:themeColor="text1"/>
                <w:szCs w:val="24"/>
              </w:rPr>
            </w:pPr>
            <w:r w:rsidRPr="007D7F4F">
              <w:rPr>
                <w:rFonts w:ascii="Titillium Web" w:hAnsi="Titillium Web" w:cs="Times New Roman"/>
                <w:color w:val="000000" w:themeColor="text1"/>
                <w:szCs w:val="24"/>
              </w:rPr>
              <w:t xml:space="preserve">1. </w:t>
            </w:r>
            <w:r w:rsidRPr="007D7F4F">
              <w:rPr>
                <w:rFonts w:ascii="Titillium Web" w:hAnsi="Titillium Web" w:cs="Times New Roman"/>
                <w:color w:val="000000" w:themeColor="text1"/>
                <w:szCs w:val="24"/>
              </w:rPr>
              <w:t>Olletta di produzione locale (IG 45751; vernice nera)</w:t>
            </w:r>
          </w:p>
          <w:p w14:paraId="021100B7" w14:textId="59B59473" w:rsidR="000F399B" w:rsidRPr="007D7F4F" w:rsidRDefault="000F399B" w:rsidP="00A87084">
            <w:pPr>
              <w:jc w:val="center"/>
              <w:rPr>
                <w:rFonts w:ascii="Titillium Web" w:hAnsi="Titillium Web" w:cs="Times New Roman"/>
                <w:color w:val="000000" w:themeColor="text1"/>
                <w:szCs w:val="24"/>
              </w:rPr>
            </w:pPr>
            <w:r w:rsidRPr="007D7F4F">
              <w:rPr>
                <w:rFonts w:ascii="Titillium Web" w:hAnsi="Titillium Web" w:cs="Times New Roman"/>
                <w:color w:val="000000" w:themeColor="text1"/>
                <w:szCs w:val="24"/>
              </w:rPr>
              <w:lastRenderedPageBreak/>
              <w:t xml:space="preserve">2. </w:t>
            </w:r>
            <w:r w:rsidRPr="007D7F4F">
              <w:rPr>
                <w:rFonts w:ascii="Titillium Web" w:hAnsi="Titillium Web" w:cs="Times New Roman"/>
                <w:color w:val="000000" w:themeColor="text1"/>
                <w:szCs w:val="24"/>
              </w:rPr>
              <w:t>Ciotola di produzione locale (?) (IG 1055; vernice nera)</w:t>
            </w:r>
          </w:p>
          <w:p w14:paraId="61552FC4" w14:textId="5E33602B" w:rsidR="000F399B" w:rsidRPr="007D7F4F" w:rsidRDefault="000F399B" w:rsidP="00A87084">
            <w:pPr>
              <w:jc w:val="center"/>
              <w:rPr>
                <w:rFonts w:ascii="Titillium Web" w:hAnsi="Titillium Web" w:cs="Times New Roman"/>
                <w:color w:val="000000" w:themeColor="text1"/>
                <w:szCs w:val="24"/>
              </w:rPr>
            </w:pPr>
            <w:r w:rsidRPr="007D7F4F">
              <w:rPr>
                <w:rFonts w:ascii="Titillium Web" w:hAnsi="Titillium Web" w:cs="Times New Roman"/>
                <w:color w:val="000000" w:themeColor="text1"/>
                <w:szCs w:val="24"/>
              </w:rPr>
              <w:t xml:space="preserve">3. </w:t>
            </w:r>
            <w:r w:rsidRPr="007D7F4F">
              <w:rPr>
                <w:rFonts w:ascii="Titillium Web" w:hAnsi="Titillium Web" w:cs="Times New Roman"/>
                <w:color w:val="000000" w:themeColor="text1"/>
                <w:szCs w:val="24"/>
              </w:rPr>
              <w:t>Piattello di produzione locale (IG 1053; vernice nera)</w:t>
            </w:r>
          </w:p>
          <w:p w14:paraId="1C165065" w14:textId="55F376CF" w:rsidR="000F399B" w:rsidRPr="007D7F4F" w:rsidRDefault="000F399B" w:rsidP="00A87084">
            <w:pPr>
              <w:jc w:val="center"/>
              <w:rPr>
                <w:rFonts w:ascii="Titillium Web" w:hAnsi="Titillium Web" w:cs="Times New Roman"/>
                <w:color w:val="000000" w:themeColor="text1"/>
                <w:szCs w:val="24"/>
              </w:rPr>
            </w:pPr>
            <w:r w:rsidRPr="007D7F4F">
              <w:rPr>
                <w:rFonts w:ascii="Titillium Web" w:hAnsi="Titillium Web" w:cs="Times New Roman"/>
                <w:color w:val="000000" w:themeColor="text1"/>
                <w:szCs w:val="24"/>
              </w:rPr>
              <w:t xml:space="preserve">4. </w:t>
            </w:r>
            <w:r w:rsidRPr="007D7F4F">
              <w:rPr>
                <w:rFonts w:ascii="Titillium Web" w:hAnsi="Titillium Web" w:cs="Times New Roman"/>
                <w:color w:val="000000" w:themeColor="text1"/>
                <w:szCs w:val="24"/>
              </w:rPr>
              <w:t>Piattello di produzione locale (IG 1056; vernice nera)</w:t>
            </w:r>
          </w:p>
          <w:p w14:paraId="1F16E32C" w14:textId="747A3309" w:rsidR="000F399B" w:rsidRPr="007D7F4F" w:rsidRDefault="000F399B" w:rsidP="00A87084">
            <w:pPr>
              <w:jc w:val="center"/>
              <w:rPr>
                <w:rFonts w:ascii="Titillium Web" w:hAnsi="Titillium Web" w:cs="Times New Roman"/>
                <w:color w:val="000000" w:themeColor="text1"/>
                <w:szCs w:val="24"/>
              </w:rPr>
            </w:pPr>
            <w:r w:rsidRPr="007D7F4F">
              <w:rPr>
                <w:rFonts w:ascii="Titillium Web" w:hAnsi="Titillium Web" w:cs="Times New Roman"/>
                <w:color w:val="000000" w:themeColor="text1"/>
                <w:szCs w:val="24"/>
              </w:rPr>
              <w:t xml:space="preserve">5. </w:t>
            </w:r>
            <w:r w:rsidRPr="007D7F4F">
              <w:rPr>
                <w:rFonts w:ascii="Titillium Web" w:hAnsi="Titillium Web" w:cs="Times New Roman"/>
                <w:color w:val="000000" w:themeColor="text1"/>
                <w:szCs w:val="24"/>
              </w:rPr>
              <w:t>Piattello di produzione locale (IG 45754; vernice nera)</w:t>
            </w:r>
          </w:p>
          <w:p w14:paraId="4C15D677" w14:textId="1370E7D6" w:rsidR="000F399B" w:rsidRPr="007D7F4F" w:rsidRDefault="000F399B" w:rsidP="00A87084">
            <w:pPr>
              <w:jc w:val="center"/>
              <w:rPr>
                <w:rFonts w:ascii="Titillium Web" w:hAnsi="Titillium Web" w:cs="Times New Roman"/>
                <w:color w:val="000000" w:themeColor="text1"/>
                <w:szCs w:val="24"/>
              </w:rPr>
            </w:pPr>
            <w:r w:rsidRPr="007D7F4F">
              <w:rPr>
                <w:rFonts w:ascii="Titillium Web" w:hAnsi="Titillium Web" w:cs="Times New Roman"/>
                <w:color w:val="000000" w:themeColor="text1"/>
                <w:szCs w:val="24"/>
              </w:rPr>
              <w:t xml:space="preserve">6. </w:t>
            </w:r>
            <w:r w:rsidRPr="007D7F4F">
              <w:rPr>
                <w:rFonts w:ascii="Titillium Web" w:hAnsi="Titillium Web" w:cs="Times New Roman"/>
                <w:color w:val="000000" w:themeColor="text1"/>
                <w:szCs w:val="24"/>
              </w:rPr>
              <w:t>Piattello di produzione locale (IG 45752; vernice nera)</w:t>
            </w:r>
          </w:p>
          <w:p w14:paraId="7CD17801" w14:textId="354F0693" w:rsidR="000F399B" w:rsidRPr="007D7F4F" w:rsidRDefault="000F399B" w:rsidP="00A87084">
            <w:pPr>
              <w:jc w:val="center"/>
              <w:rPr>
                <w:rFonts w:ascii="Titillium Web" w:hAnsi="Titillium Web" w:cs="Times New Roman"/>
                <w:color w:val="000000" w:themeColor="text1"/>
                <w:szCs w:val="24"/>
              </w:rPr>
            </w:pPr>
            <w:r w:rsidRPr="007D7F4F">
              <w:rPr>
                <w:rFonts w:ascii="Titillium Web" w:hAnsi="Titillium Web" w:cs="Times New Roman"/>
                <w:color w:val="000000" w:themeColor="text1"/>
                <w:szCs w:val="24"/>
              </w:rPr>
              <w:t xml:space="preserve">7. </w:t>
            </w:r>
            <w:r w:rsidRPr="007D7F4F">
              <w:rPr>
                <w:rFonts w:ascii="Titillium Web" w:hAnsi="Titillium Web" w:cs="Times New Roman"/>
                <w:color w:val="000000" w:themeColor="text1"/>
                <w:szCs w:val="24"/>
              </w:rPr>
              <w:t>Piattello di produzione locale (IG 45753; vernice nera)</w:t>
            </w:r>
          </w:p>
          <w:p w14:paraId="0AF5CA55" w14:textId="4B39B21A" w:rsidR="000F399B" w:rsidRPr="007D7F4F" w:rsidRDefault="000F399B" w:rsidP="00A87084">
            <w:pPr>
              <w:jc w:val="center"/>
              <w:rPr>
                <w:rFonts w:ascii="Titillium Web" w:hAnsi="Titillium Web" w:cs="Times New Roman"/>
                <w:color w:val="000000" w:themeColor="text1"/>
                <w:szCs w:val="24"/>
              </w:rPr>
            </w:pPr>
            <w:r w:rsidRPr="007D7F4F">
              <w:rPr>
                <w:rFonts w:ascii="Titillium Web" w:hAnsi="Titillium Web" w:cs="Times New Roman"/>
                <w:color w:val="000000" w:themeColor="text1"/>
                <w:szCs w:val="24"/>
              </w:rPr>
              <w:t xml:space="preserve">8. </w:t>
            </w:r>
            <w:r w:rsidRPr="007D7F4F">
              <w:rPr>
                <w:rFonts w:ascii="Titillium Web" w:hAnsi="Titillium Web" w:cs="Times New Roman"/>
                <w:color w:val="000000" w:themeColor="text1"/>
                <w:szCs w:val="24"/>
              </w:rPr>
              <w:t>Anfora da trasporto greco-italica (IG 45012; ceramica grezza)</w:t>
            </w:r>
          </w:p>
          <w:p w14:paraId="125FDE0C" w14:textId="275D0509" w:rsidR="000F399B" w:rsidRPr="007D7F4F" w:rsidRDefault="000F399B" w:rsidP="00A87084">
            <w:pPr>
              <w:jc w:val="center"/>
              <w:rPr>
                <w:rFonts w:ascii="Titillium Web" w:hAnsi="Titillium Web" w:cs="Times New Roman"/>
                <w:color w:val="000000" w:themeColor="text1"/>
                <w:szCs w:val="24"/>
              </w:rPr>
            </w:pPr>
            <w:r w:rsidRPr="007D7F4F">
              <w:rPr>
                <w:rFonts w:ascii="Titillium Web" w:hAnsi="Titillium Web" w:cs="Times New Roman"/>
                <w:color w:val="000000" w:themeColor="text1"/>
                <w:szCs w:val="24"/>
              </w:rPr>
              <w:t xml:space="preserve">9. </w:t>
            </w:r>
            <w:r w:rsidRPr="007D7F4F">
              <w:rPr>
                <w:rFonts w:ascii="Titillium Web" w:hAnsi="Titillium Web" w:cs="Times New Roman"/>
                <w:color w:val="000000" w:themeColor="text1"/>
                <w:szCs w:val="24"/>
              </w:rPr>
              <w:t>Busto femminile (IG 45026; terracotta)</w:t>
            </w:r>
          </w:p>
          <w:p w14:paraId="5EE32F9C" w14:textId="02D62A8F" w:rsidR="001B742A" w:rsidRPr="007D7F4F" w:rsidRDefault="000F399B" w:rsidP="00A87084">
            <w:pPr>
              <w:jc w:val="center"/>
              <w:rPr>
                <w:rFonts w:ascii="Titillium Web" w:hAnsi="Titillium Web" w:cs="Times New Roman"/>
                <w:color w:val="000000" w:themeColor="text1"/>
                <w:szCs w:val="24"/>
              </w:rPr>
            </w:pPr>
            <w:r w:rsidRPr="007D7F4F">
              <w:rPr>
                <w:rFonts w:ascii="Titillium Web" w:hAnsi="Titillium Web" w:cs="Times New Roman"/>
                <w:color w:val="000000" w:themeColor="text1"/>
                <w:szCs w:val="24"/>
              </w:rPr>
              <w:t>10*. Vago (ambra)</w:t>
            </w:r>
          </w:p>
        </w:tc>
      </w:tr>
      <w:tr w:rsidR="001B5504" w:rsidRPr="007D7F4F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7D7F4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7F4F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504A93CA" w:rsidR="001B5504" w:rsidRPr="007D7F4F" w:rsidRDefault="00B5716D" w:rsidP="00A87084">
            <w:pPr>
              <w:jc w:val="center"/>
              <w:rPr>
                <w:rFonts w:ascii="Titillium Web" w:hAnsi="Titillium Web"/>
                <w:szCs w:val="24"/>
              </w:rPr>
            </w:pPr>
            <w:r w:rsidRPr="007D7F4F">
              <w:rPr>
                <w:rFonts w:ascii="Titillium Web" w:hAnsi="Titillium Web"/>
                <w:szCs w:val="24"/>
              </w:rPr>
              <w:t>Rinvenuto frammisto alle ossa</w:t>
            </w:r>
          </w:p>
        </w:tc>
      </w:tr>
      <w:tr w:rsidR="001B5504" w:rsidRPr="007D7F4F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7D7F4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7F4F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17EA7DBA" w:rsidR="001B5504" w:rsidRPr="007D7F4F" w:rsidRDefault="003A1CE2" w:rsidP="00A87084">
            <w:pPr>
              <w:jc w:val="center"/>
              <w:rPr>
                <w:rFonts w:ascii="Titillium Web" w:hAnsi="Titillium Web" w:cs="Times New Roman"/>
                <w:color w:val="000000" w:themeColor="text1"/>
                <w:szCs w:val="24"/>
              </w:rPr>
            </w:pPr>
            <w:r w:rsidRPr="007D7F4F">
              <w:rPr>
                <w:rFonts w:ascii="Titillium Web" w:hAnsi="Titillium Web" w:cs="Times New Roman"/>
                <w:color w:val="000000" w:themeColor="text1"/>
                <w:szCs w:val="24"/>
              </w:rPr>
              <w:t>Sono stati verosimilmente attribuiti erroneamente alla tomba una piccola olla e una ciotola su alto piede a v.n. di produzione locale. Si espunge la prima perché integra, mentre l’esemplare pertinente risulta in frr. (n. 1); la seconda, in quanto su alto piede, caratteristica non menzionata in GdS.</w:t>
            </w:r>
          </w:p>
        </w:tc>
      </w:tr>
      <w:tr w:rsidR="001B5504" w:rsidRPr="007D7F4F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7D7F4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7F4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7D7F4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7D7F4F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1B5504" w:rsidRPr="007D7F4F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7D7F4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7F4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7D7F4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D7F4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7D7F4F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7D7F4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7F4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7D7F4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D7F4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7D7F4F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7D7F4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7F4F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7D7F4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D7F4F">
              <w:rPr>
                <w:rFonts w:ascii="Titillium Web" w:hAnsi="Titillium Web"/>
                <w:szCs w:val="24"/>
              </w:rPr>
              <w:t>Fra la fine del IV e gli inizi del III sec. a.C.</w:t>
            </w:r>
          </w:p>
        </w:tc>
      </w:tr>
      <w:tr w:rsidR="001B5504" w:rsidRPr="007D7F4F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7D7F4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7F4F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7752328" w:rsidR="001B5504" w:rsidRPr="007D7F4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07541">
              <w:rPr>
                <w:rFonts w:ascii="Titillium Web" w:hAnsi="Titillium Web"/>
                <w:smallCaps/>
                <w:szCs w:val="24"/>
              </w:rPr>
              <w:t>Berti</w:t>
            </w:r>
            <w:r w:rsidRPr="007D7F4F">
              <w:rPr>
                <w:rFonts w:ascii="Titillium Web" w:hAnsi="Titillium Web"/>
                <w:szCs w:val="24"/>
              </w:rPr>
              <w:t xml:space="preserve"> 1983, p. 46.</w:t>
            </w:r>
          </w:p>
        </w:tc>
      </w:tr>
      <w:tr w:rsidR="001B5504" w:rsidRPr="007D7F4F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7D7F4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7F4F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7D7F4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0F399B"/>
    <w:rsid w:val="00196216"/>
    <w:rsid w:val="001B5504"/>
    <w:rsid w:val="001B742A"/>
    <w:rsid w:val="001F2833"/>
    <w:rsid w:val="0029024B"/>
    <w:rsid w:val="002977D7"/>
    <w:rsid w:val="002F1500"/>
    <w:rsid w:val="003A1CE2"/>
    <w:rsid w:val="00407541"/>
    <w:rsid w:val="00472AF4"/>
    <w:rsid w:val="00560743"/>
    <w:rsid w:val="005B5AFF"/>
    <w:rsid w:val="0068458A"/>
    <w:rsid w:val="00710B38"/>
    <w:rsid w:val="007145BC"/>
    <w:rsid w:val="007D54CD"/>
    <w:rsid w:val="007D7F4F"/>
    <w:rsid w:val="00942E70"/>
    <w:rsid w:val="00943EAC"/>
    <w:rsid w:val="00950348"/>
    <w:rsid w:val="00975CA9"/>
    <w:rsid w:val="00997946"/>
    <w:rsid w:val="009E4922"/>
    <w:rsid w:val="00A52A70"/>
    <w:rsid w:val="00A87084"/>
    <w:rsid w:val="00B165C4"/>
    <w:rsid w:val="00B5716D"/>
    <w:rsid w:val="00B86B2D"/>
    <w:rsid w:val="00BE2CB2"/>
    <w:rsid w:val="00BE63CC"/>
    <w:rsid w:val="00BF212E"/>
    <w:rsid w:val="00C21EE0"/>
    <w:rsid w:val="00C30F5C"/>
    <w:rsid w:val="00CC46E5"/>
    <w:rsid w:val="00D54723"/>
    <w:rsid w:val="00DB1668"/>
    <w:rsid w:val="00E0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418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18</cp:revision>
  <dcterms:created xsi:type="dcterms:W3CDTF">2026-04-28T14:33:00Z</dcterms:created>
  <dcterms:modified xsi:type="dcterms:W3CDTF">2026-05-17T14:45:00Z</dcterms:modified>
</cp:coreProperties>
</file>