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4372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4372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4372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4372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4372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14372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4372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14372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372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35AC46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Tomba 1050 a umazione (con cassa di tavole di legno e con calce).</w:t>
            </w:r>
          </w:p>
          <w:p w14:paraId="791EE65F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A m. 155 dal B, a m. 115,60 a sud del D.B, a m. 1,50 di profondità poggiava una tomba a umazione racchiusa in cassa di tavole di legno, marcite. Lo scheletro è orientato da pon. a lev. gradi 280 (esatti) ed è avvolto in un leggero strato di calce.</w:t>
            </w:r>
          </w:p>
          <w:p w14:paraId="3178CEE9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I vasi si rinvengono in parte presso il fianco destro dello scheletro e in parte sopra allo scheletro stesso. Anzi oggetti piccoli come le tazzette basse, sono scivolate sotto le ossa del braccio dello scheletro. Forse è un fenomeno dovuto allo sfasciamento della cassa di legno dopo marcita e di conseguenza lo slittamento dei vasi sullo scheletro.</w:t>
            </w:r>
          </w:p>
          <w:p w14:paraId="02A698FD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4C47DB4E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1 oinochoe a forma di fiasca, di argilla giallo chiara con disegni di palmette e testone: ha l’ansa ed il collo staccati.</w:t>
            </w:r>
          </w:p>
          <w:p w14:paraId="7BB51E6B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1 lucerma di forma discoidale, piuttosto grande, con larga ansa a nastro e con disegni di teste femminili e di animali felini: è frammentata nell’ansa e nella bocca.</w:t>
            </w:r>
          </w:p>
          <w:p w14:paraId="6E5CF2F8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1 lekane (tazza e coperchio) in frammenti. Il coperchio è decorato con figure di grifi e con spirali: conserva leggere traccie di pittura bianca ?</w:t>
            </w:r>
          </w:p>
          <w:p w14:paraId="7EE1F6EC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1 kotylos imbutiforme, di argilla giallo chiara, con vern. nera scadentissima: è in frammenti ed è decorato presso la bocca con ovoli grafiti sulla vernice nera e con pittura di colori incerti.</w:t>
            </w:r>
          </w:p>
          <w:p w14:paraId="3DCAAC0D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lastRenderedPageBreak/>
              <w:t>5 scodelle apode, a vern. nera scadente: una reca le impronte di due anse che non si rinvennero; intere e liscie.</w:t>
            </w:r>
          </w:p>
          <w:p w14:paraId="2337535A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2 scodellini a vern. nera scadente (uno rotto)</w:t>
            </w:r>
          </w:p>
          <w:p w14:paraId="1C857B5D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4</w:t>
            </w:r>
            <w:r w:rsidRPr="00143720">
              <w:rPr>
                <w:rFonts w:ascii="Titillium Web" w:hAnsi="Titillium Web"/>
                <w:i/>
                <w:iCs/>
                <w:szCs w:val="24"/>
              </w:rPr>
              <w:t xml:space="preserve"> piccoli piatteli con pieduccio, di argilla cenerognola, interi.</w:t>
            </w:r>
          </w:p>
          <w:p w14:paraId="47DA6631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Nell’angolo sud ovest della tomba, era:</w:t>
            </w:r>
          </w:p>
          <w:p w14:paraId="208F439D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1 candelabro di ferro, in minuti fram.ti, informi. Il candelabro aveva il piede sotto il cumulo dei vasi presso il fianco destro dello scheletro, e lo stelo si protendeva presso l’angolo sud - ovest della cassa.</w:t>
            </w:r>
          </w:p>
          <w:p w14:paraId="3321A166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Presso il braccio sin. dello scheletro</w:t>
            </w:r>
          </w:p>
          <w:p w14:paraId="2C3984D9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1 oinochoe a vern. nera, con largo beccuccio verticale a cartoccio: è intero e reca sulla vernice nera traccie di pittura di spirali e di figura, dipinti.</w:t>
            </w:r>
          </w:p>
          <w:p w14:paraId="35AA348D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Presso il collo dello scheletro si raccolsero:</w:t>
            </w:r>
          </w:p>
          <w:p w14:paraId="5DAED625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7 piccole ambre (grani) con foro pervio.</w:t>
            </w:r>
          </w:p>
          <w:p w14:paraId="175A29E0" w14:textId="77777777" w:rsidR="00A638EC" w:rsidRPr="00143720" w:rsidRDefault="00A638EC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9054772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A m. 0,60 circa sopra la tomba a cassa (T. 1050), che indubbiamente era intatta, si rinvenne fra la sabbia, un blocco di sabbia cementata con calce, nella quale erano poche ossa umane e 20 ambre piccole (grani) con foro pervio, e</w:t>
            </w:r>
          </w:p>
          <w:p w14:paraId="5A92CEC8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1 oggettino di oro a forma di anellino non chiuso con i due capi finienti in una pallottolina</w:t>
            </w:r>
          </w:p>
          <w:p w14:paraId="4D13BDED" w14:textId="77777777" w:rsidR="00A638EC" w:rsidRPr="00143720" w:rsidRDefault="005C13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3720">
              <w:rPr>
                <w:rFonts w:ascii="Titillium Web" w:hAnsi="Titillium Web"/>
                <w:i/>
                <w:iCs/>
                <w:szCs w:val="24"/>
              </w:rPr>
              <w:t>Una ancora delle dimostrazioni pratiche, che le tombe a cassa (quelle tarde e che sono la maggior parte) hanno avuto l’occasione di disfare o saccheggiare le tombe precedenti."</w:t>
            </w:r>
          </w:p>
        </w:tc>
      </w:tr>
      <w:tr w:rsidR="0086297F" w:rsidRPr="0014372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759D90A" w:rsidR="0086297F" w:rsidRPr="00143720" w:rsidRDefault="00034AC7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4AC7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14372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14372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372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437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372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437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372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69FCD3" w14:textId="77777777" w:rsidR="00A638EC" w:rsidRPr="00143720" w:rsidRDefault="005C139C" w:rsidP="00143720">
            <w:pPr>
              <w:jc w:val="center"/>
              <w:rPr>
                <w:rFonts w:ascii="Titillium Web" w:hAnsi="Titillium Web"/>
                <w:szCs w:val="24"/>
              </w:rPr>
            </w:pPr>
            <w:r w:rsidRPr="00143720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143720">
              <w:rPr>
                <w:rFonts w:ascii="Titillium Web" w:eastAsia="Titillium" w:hAnsi="Titillium Web" w:cs="Titillium"/>
                <w:szCs w:val="24"/>
              </w:rPr>
              <w:t xml:space="preserve"> 1978, pp. 86-88, tav. XXII, fig. 2; </w:t>
            </w:r>
            <w:r w:rsidRPr="00143720">
              <w:rPr>
                <w:rFonts w:ascii="Titillium Web" w:eastAsia="Titillium" w:hAnsi="Titillium Web" w:cs="Titillium"/>
                <w:i/>
                <w:iCs/>
                <w:szCs w:val="24"/>
              </w:rPr>
              <w:t>Classico Anticlassico</w:t>
            </w:r>
            <w:r w:rsidRPr="00143720">
              <w:rPr>
                <w:rFonts w:ascii="Titillium Web" w:eastAsia="Titillium" w:hAnsi="Titillium Web" w:cs="Titillium"/>
                <w:szCs w:val="24"/>
              </w:rPr>
              <w:t xml:space="preserve"> 1996, pp. 108; </w:t>
            </w:r>
            <w:r w:rsidRPr="00143720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143720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14372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4372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4AC7"/>
    <w:rsid w:val="00042C80"/>
    <w:rsid w:val="000D72F4"/>
    <w:rsid w:val="00143720"/>
    <w:rsid w:val="001B06B8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638EC"/>
    <w:rsid w:val="00AB321D"/>
    <w:rsid w:val="00B165C4"/>
    <w:rsid w:val="00C21EE0"/>
    <w:rsid w:val="00D900AB"/>
    <w:rsid w:val="00D936E8"/>
    <w:rsid w:val="00E24633"/>
    <w:rsid w:val="00FA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2026-05-15T09:58:00Z</dcterms:modified>
</cp:coreProperties>
</file>