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A241C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A241C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A241C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A241C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A241C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1,5 m</w:t>
            </w:r>
          </w:p>
        </w:tc>
      </w:tr>
      <w:tr w:rsidR="001B5504" w:rsidRPr="00A241C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A241C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A241C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3C234669" w:rsidR="001B5504" w:rsidRPr="00A241C8" w:rsidRDefault="0004541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A241C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A241C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456281B2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106 tomba – &lt;a umazione&gt; saccheggiata – </w:t>
            </w:r>
          </w:p>
          <w:p w14:paraId="6F16673F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a m. 2 a nord della precedente, e tracciando ad angolo retto una linea verso lev., a m. 6, si rinviene una tomba con scheletro alla </w:t>
            </w:r>
            <w:proofErr w:type="spellStart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 di m. 1,50.</w:t>
            </w:r>
          </w:p>
          <w:p w14:paraId="4983D712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Lo scheletro è orientato da </w:t>
            </w:r>
            <w:proofErr w:type="spellStart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. a lev., e presso la testa aveva:</w:t>
            </w:r>
          </w:p>
          <w:p w14:paraId="61DE98B1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anfora a puntale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 (eguale a quella della </w:t>
            </w:r>
            <w:r w:rsidRPr="00A241C8">
              <w:rPr>
                <w:rFonts w:ascii="Titillium Web" w:hAnsi="Titillium Web" w:cs="Times New Roman"/>
                <w:i/>
                <w:iCs/>
                <w:strike/>
                <w:szCs w:val="24"/>
              </w:rPr>
              <w:t>61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 105) intera.</w:t>
            </w:r>
          </w:p>
          <w:p w14:paraId="33949F42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presso il fianco destro:</w:t>
            </w:r>
          </w:p>
          <w:p w14:paraId="67AE8276" w14:textId="1F8E9628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piede di vaso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 (o reggi vaso) di bronzo con decorazioni sugli orli a ovoli e punti a sbalzo, entra la cavità del quale erano:</w:t>
            </w:r>
          </w:p>
          <w:p w14:paraId="2CCFE0C1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n° 12 grani 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di ambra con foro pervio.</w:t>
            </w:r>
          </w:p>
          <w:p w14:paraId="3DEE1791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due piatti a ver. n.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 e cavetto nel centro, entro uno dei quali erano deposti diversi pezzi di osso animale (una mascella di carnivoro, cinghiale?) che furono raccolti.</w:t>
            </w:r>
          </w:p>
          <w:p w14:paraId="720AEC24" w14:textId="7354447C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oinocoe</w:t>
            </w:r>
            <w:proofErr w:type="spellEnd"/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ventre espanso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, a ver. n., e decorato sul ventre da due zone di costolature verticali (ha il beccuccio trilobato, in frammenti) alto cm. 26 –</w:t>
            </w:r>
          </w:p>
          <w:p w14:paraId="28121272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scodella a ve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r. n., con impressioni di palmette, intera</w:t>
            </w:r>
          </w:p>
          <w:p w14:paraId="585A7282" w14:textId="77777777" w:rsidR="00045419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vasetto a ver n</w:t>
            </w: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. senza manici (a forma di olla)</w:t>
            </w:r>
          </w:p>
          <w:p w14:paraId="1A6B7E7E" w14:textId="293A0EB3" w:rsidR="001B5504" w:rsidRPr="00A241C8" w:rsidRDefault="00045419" w:rsidP="00045419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Presso lo scheletro dalla parte </w:t>
            </w:r>
            <w:proofErr w:type="spellStart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sin</w:t>
            </w:r>
            <w:proofErr w:type="spellEnd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. era un tronco di legno di quercia ed il terreno portava le </w:t>
            </w:r>
            <w:proofErr w:type="spellStart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>traccie</w:t>
            </w:r>
            <w:proofErr w:type="spellEnd"/>
            <w:r w:rsidRPr="00A241C8">
              <w:rPr>
                <w:rFonts w:ascii="Titillium Web" w:hAnsi="Titillium Web" w:cs="Times New Roman"/>
                <w:i/>
                <w:iCs/>
                <w:szCs w:val="24"/>
              </w:rPr>
              <w:t xml:space="preserve"> di manomissione.</w:t>
            </w:r>
          </w:p>
        </w:tc>
      </w:tr>
      <w:tr w:rsidR="001B5504" w:rsidRPr="00A241C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5B885E96" w14:textId="68810139" w:rsidR="0099455B" w:rsidRPr="00A241C8" w:rsidRDefault="0099455B" w:rsidP="00A241C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A241C8">
              <w:rPr>
                <w:rFonts w:ascii="Titillium Web" w:hAnsi="Titillium Web" w:cs="Times New Roman"/>
                <w:szCs w:val="24"/>
              </w:rPr>
              <w:t>I</w:t>
            </w:r>
            <w:r w:rsidRPr="00A241C8">
              <w:rPr>
                <w:rFonts w:ascii="Titillium Web" w:hAnsi="Titillium Web" w:cs="Times New Roman"/>
                <w:szCs w:val="24"/>
              </w:rPr>
              <w:t xml:space="preserve">l corredo era collocato lungo il fianco </w:t>
            </w:r>
            <w:r w:rsidRPr="00A241C8">
              <w:rPr>
                <w:rFonts w:ascii="Titillium Web" w:hAnsi="Titillium Web" w:cs="Times New Roman"/>
                <w:szCs w:val="24"/>
              </w:rPr>
              <w:t>destro</w:t>
            </w:r>
            <w:r w:rsidRPr="00A241C8">
              <w:rPr>
                <w:rFonts w:ascii="Titillium Web" w:hAnsi="Titillium Web" w:cs="Times New Roman"/>
                <w:szCs w:val="24"/>
              </w:rPr>
              <w:t>. A partire dalla testa, il Proni descrive la presenza di un’anfora da trasporto (n. 6), seguita da un presunto piede di cratere in bronzo, contenente alcuni vaghi in ambra (nn. 7-8), e da vasi a v.n. locale (nn. 1, 4-5) e volterrana (nn. 2-3).</w:t>
            </w:r>
          </w:p>
          <w:p w14:paraId="1D4EACA6" w14:textId="114BB405" w:rsidR="009A5706" w:rsidRPr="00A241C8" w:rsidRDefault="00832AB5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lastRenderedPageBreak/>
              <w:t xml:space="preserve">1. </w:t>
            </w:r>
            <w:r w:rsidR="009A5706" w:rsidRPr="00A241C8">
              <w:rPr>
                <w:rFonts w:ascii="Titillium Web" w:hAnsi="Titillium Web"/>
                <w:szCs w:val="24"/>
              </w:rPr>
              <w:t>Chous di produzione locale (IG 1062; vernice nera)</w:t>
            </w:r>
          </w:p>
          <w:p w14:paraId="6E4213E6" w14:textId="19B0873E" w:rsidR="009A5706" w:rsidRPr="00A241C8" w:rsidRDefault="00832AB5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 xml:space="preserve">2. </w:t>
            </w:r>
            <w:r w:rsidR="009A5706" w:rsidRPr="00A241C8">
              <w:rPr>
                <w:rFonts w:ascii="Titillium Web" w:hAnsi="Titillium Web"/>
                <w:szCs w:val="24"/>
              </w:rPr>
              <w:t>Olletta volterrana (IG 1058; vernice nera)</w:t>
            </w:r>
          </w:p>
          <w:p w14:paraId="78025636" w14:textId="6C2FEE80" w:rsidR="009A5706" w:rsidRPr="00A241C8" w:rsidRDefault="00832AB5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 xml:space="preserve">3. </w:t>
            </w:r>
            <w:r w:rsidR="009A5706" w:rsidRPr="00A241C8">
              <w:rPr>
                <w:rFonts w:ascii="Titillium Web" w:hAnsi="Titillium Web"/>
                <w:szCs w:val="24"/>
              </w:rPr>
              <w:t>Ciotola volterrana (IG 1057; vernice nera)</w:t>
            </w:r>
          </w:p>
          <w:p w14:paraId="0CB258F8" w14:textId="48C0FF31" w:rsidR="009A5706" w:rsidRPr="00A241C8" w:rsidRDefault="00832AB5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 xml:space="preserve">4. </w:t>
            </w:r>
            <w:r w:rsidR="009A5706" w:rsidRPr="00A241C8">
              <w:rPr>
                <w:rFonts w:ascii="Titillium Web" w:hAnsi="Titillium Web"/>
                <w:szCs w:val="24"/>
              </w:rPr>
              <w:t>Piatto da pesce di produzione locale (IG 1061; vernice nera)</w:t>
            </w:r>
          </w:p>
          <w:p w14:paraId="310BE59B" w14:textId="3F6AFC94" w:rsidR="009A5706" w:rsidRPr="00A241C8" w:rsidRDefault="009D3ADD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 xml:space="preserve">5. </w:t>
            </w:r>
            <w:r w:rsidR="009A5706" w:rsidRPr="00A241C8">
              <w:rPr>
                <w:rFonts w:ascii="Titillium Web" w:hAnsi="Titillium Web"/>
                <w:szCs w:val="24"/>
              </w:rPr>
              <w:t>Piatto da pesce di produzione locale (IG 1060; vernice nera)</w:t>
            </w:r>
          </w:p>
          <w:p w14:paraId="30743809" w14:textId="60848263" w:rsidR="009A5706" w:rsidRPr="00A241C8" w:rsidRDefault="009D3ADD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 xml:space="preserve">6. </w:t>
            </w:r>
            <w:r w:rsidR="009A5706" w:rsidRPr="00A241C8">
              <w:rPr>
                <w:rFonts w:ascii="Titillium Web" w:hAnsi="Titillium Web"/>
                <w:szCs w:val="24"/>
              </w:rPr>
              <w:t>Anfora da trasporto greco-italica (IG 45009; ceramica grezza)</w:t>
            </w:r>
          </w:p>
          <w:p w14:paraId="75968B1B" w14:textId="573B3582" w:rsidR="009A5706" w:rsidRPr="00A241C8" w:rsidRDefault="009D3ADD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 xml:space="preserve">7. </w:t>
            </w:r>
            <w:r w:rsidR="009A5706" w:rsidRPr="00A241C8">
              <w:rPr>
                <w:rFonts w:ascii="Titillium Web" w:hAnsi="Titillium Web"/>
                <w:szCs w:val="24"/>
              </w:rPr>
              <w:t>Cratere (?) vulcente (IG 20643; bronzo)</w:t>
            </w:r>
          </w:p>
          <w:p w14:paraId="5EE32F9C" w14:textId="155B1D3A" w:rsidR="001B5504" w:rsidRPr="00A241C8" w:rsidRDefault="00D80D71" w:rsidP="00A241C8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 xml:space="preserve">8. </w:t>
            </w:r>
            <w:r w:rsidR="009A5706" w:rsidRPr="00A241C8">
              <w:rPr>
                <w:rFonts w:ascii="Titillium Web" w:hAnsi="Titillium Web"/>
                <w:szCs w:val="24"/>
              </w:rPr>
              <w:t>Collana (IG 20644; ambra)</w:t>
            </w:r>
          </w:p>
        </w:tc>
      </w:tr>
      <w:tr w:rsidR="001B5504" w:rsidRPr="00A241C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178A27DC" w:rsidR="001B5504" w:rsidRPr="00A241C8" w:rsidRDefault="0099455B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A241C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66A1970D" w:rsidR="001B5504" w:rsidRPr="00A241C8" w:rsidRDefault="00EA7AC1" w:rsidP="00DB1770">
            <w:pPr>
              <w:jc w:val="center"/>
              <w:rPr>
                <w:rFonts w:ascii="Titillium Web" w:hAnsi="Titillium Web" w:cs="Times New Roman"/>
                <w:color w:val="000000" w:themeColor="text1"/>
                <w:szCs w:val="24"/>
              </w:rPr>
            </w:pPr>
            <w:r w:rsidRPr="00A241C8">
              <w:rPr>
                <w:rFonts w:ascii="Titillium Web" w:hAnsi="Titillium Web" w:cs="Times New Roman"/>
                <w:color w:val="000000" w:themeColor="text1"/>
                <w:szCs w:val="24"/>
              </w:rPr>
              <w:t>Al corredo sono stati attribuiti alcuni vasi locali a v.n. ed una conocchia. Si espunge dal corredo la ciotola a v.n. locale, poiché, oltre a non presentare la decorazione stampigliata indicata nel GdS, reca al suo interno anche un’iscrizione; si escludono inoltre le due olle in ceramica depurata e grezza, come la conocchi</w:t>
            </w:r>
            <w:r w:rsidRPr="00A241C8">
              <w:rPr>
                <w:rFonts w:ascii="Titillium Web" w:hAnsi="Titillium Web" w:cs="Times New Roman"/>
                <w:color w:val="000000" w:themeColor="text1"/>
                <w:szCs w:val="24"/>
              </w:rPr>
              <w:t>a</w:t>
            </w:r>
            <w:r w:rsidRPr="00A241C8">
              <w:rPr>
                <w:rFonts w:ascii="Titillium Web" w:hAnsi="Titillium Web" w:cs="Times New Roman"/>
                <w:color w:val="000000" w:themeColor="text1"/>
                <w:szCs w:val="24"/>
              </w:rPr>
              <w:t xml:space="preserve"> in osso, in quanto non menzionate dal Proni.</w:t>
            </w:r>
          </w:p>
        </w:tc>
      </w:tr>
      <w:tr w:rsidR="001B5504" w:rsidRPr="00A241C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241C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241C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A241C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zCs w:val="24"/>
              </w:rPr>
              <w:t>Fra la fine del IV e gli inizi del III sec. a.C.</w:t>
            </w:r>
          </w:p>
        </w:tc>
      </w:tr>
      <w:tr w:rsidR="001B5504" w:rsidRPr="00A241C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36468E9E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Negrioli</w:t>
            </w:r>
            <w:r w:rsidRPr="00A241C8">
              <w:rPr>
                <w:rFonts w:ascii="Titillium Web" w:hAnsi="Titillium Web"/>
                <w:szCs w:val="24"/>
              </w:rPr>
              <w:t xml:space="preserve"> 1924, p. 295; </w:t>
            </w:r>
            <w:r w:rsidRPr="00A241C8">
              <w:rPr>
                <w:rFonts w:ascii="Titillium Web" w:hAnsi="Titillium Web"/>
                <w:smallCaps/>
                <w:szCs w:val="24"/>
              </w:rPr>
              <w:t>Uggeri</w:t>
            </w:r>
            <w:r w:rsidRPr="00A241C8">
              <w:rPr>
                <w:rFonts w:ascii="Titillium Web" w:hAnsi="Titillium Web"/>
                <w:szCs w:val="24"/>
              </w:rPr>
              <w:t xml:space="preserve"> 1978, p. 380; </w:t>
            </w:r>
            <w:r w:rsidRPr="00A241C8">
              <w:rPr>
                <w:rFonts w:ascii="Titillium Web" w:hAnsi="Titillium Web"/>
                <w:smallCaps/>
                <w:szCs w:val="24"/>
              </w:rPr>
              <w:t>Berti</w:t>
            </w:r>
            <w:r w:rsidRPr="00A241C8">
              <w:rPr>
                <w:rFonts w:ascii="Titillium Web" w:hAnsi="Titillium Web"/>
                <w:szCs w:val="24"/>
              </w:rPr>
              <w:t xml:space="preserve"> 1983, p. 47; </w:t>
            </w:r>
            <w:r w:rsidRPr="00A241C8">
              <w:rPr>
                <w:rFonts w:ascii="Titillium Web" w:hAnsi="Titillium Web"/>
                <w:smallCaps/>
                <w:szCs w:val="24"/>
              </w:rPr>
              <w:t>Hostetter</w:t>
            </w:r>
            <w:r w:rsidRPr="00A241C8">
              <w:rPr>
                <w:rFonts w:ascii="Titillium Web" w:hAnsi="Titillium Web"/>
                <w:szCs w:val="24"/>
              </w:rPr>
              <w:t xml:space="preserve"> 1986, pp. 19-20</w:t>
            </w:r>
          </w:p>
        </w:tc>
      </w:tr>
      <w:tr w:rsidR="001B5504" w:rsidRPr="00A241C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A241C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241C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A241C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45419"/>
    <w:rsid w:val="000D72F4"/>
    <w:rsid w:val="001B5504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D54CD"/>
    <w:rsid w:val="00832AB5"/>
    <w:rsid w:val="00942E70"/>
    <w:rsid w:val="00943EAC"/>
    <w:rsid w:val="00950348"/>
    <w:rsid w:val="00975CA9"/>
    <w:rsid w:val="0099455B"/>
    <w:rsid w:val="00997946"/>
    <w:rsid w:val="009A5706"/>
    <w:rsid w:val="009D3ADD"/>
    <w:rsid w:val="009E4922"/>
    <w:rsid w:val="00A241C8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80D71"/>
    <w:rsid w:val="00DB1668"/>
    <w:rsid w:val="00DB1770"/>
    <w:rsid w:val="00E0524C"/>
    <w:rsid w:val="00EA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2026-05-17T14:51:00Z</dcterms:modified>
</cp:coreProperties>
</file>