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1069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7D2B24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7D2B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2B24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7D2B2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D2B24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7D2B24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7D2B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2B24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7D2B2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D2B24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7D2B24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7D2B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2B24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7D2B2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D2B24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7D2B24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7D2B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2B24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7D2B2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D2B24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7D2B24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7D2B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2B24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7D2B2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D2B24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7D2B24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7D2B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2B24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7D2B2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D2B24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7D2B24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7D2B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2B24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7D2B2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D2B24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7D2B24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7D2B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2B24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7D2B2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D2B24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D2B24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7D2B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2B24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67F9AED" w14:textId="77777777" w:rsidR="00562F5E" w:rsidRPr="007D2B24" w:rsidRDefault="00980E2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D2B24">
              <w:rPr>
                <w:rFonts w:ascii="Titillium Web" w:hAnsi="Titillium Web"/>
                <w:i/>
                <w:iCs/>
                <w:szCs w:val="24"/>
              </w:rPr>
              <w:t>Tomba 1069 - a cremazione (con tavolato?)</w:t>
            </w:r>
          </w:p>
          <w:p w14:paraId="4867545B" w14:textId="77777777" w:rsidR="00562F5E" w:rsidRPr="007D2B24" w:rsidRDefault="00980E2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D2B24">
              <w:rPr>
                <w:rFonts w:ascii="Titillium Web" w:hAnsi="Titillium Web"/>
                <w:i/>
                <w:iCs/>
                <w:szCs w:val="24"/>
              </w:rPr>
              <w:t>A m. 173,80 dal B, a m. 134,50 a sud del D. B., a m. 1,10 di profondità poggiava una tomba a cremazione. Il cumulo dei vasetti è disposto su di un’asse che va da nord-ovest a sud-est: gradi 340, come fosse uno scheletro orientato.</w:t>
            </w:r>
          </w:p>
          <w:p w14:paraId="3F1C143B" w14:textId="77777777" w:rsidR="00562F5E" w:rsidRPr="007D2B24" w:rsidRDefault="00980E2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D2B24">
              <w:rPr>
                <w:rFonts w:ascii="Titillium Web" w:hAnsi="Titillium Web"/>
                <w:i/>
                <w:iCs/>
                <w:szCs w:val="24"/>
              </w:rPr>
              <w:t>Sotto i fittili sono le ossa combuste.</w:t>
            </w:r>
          </w:p>
          <w:p w14:paraId="3340E7DD" w14:textId="77777777" w:rsidR="00562F5E" w:rsidRPr="007D2B24" w:rsidRDefault="00980E2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D2B24">
              <w:rPr>
                <w:rFonts w:ascii="Titillium Web" w:hAnsi="Titillium Web"/>
                <w:i/>
                <w:iCs/>
                <w:szCs w:val="24"/>
              </w:rPr>
              <w:t>Fra i fittili si raccolsero:</w:t>
            </w:r>
          </w:p>
          <w:p w14:paraId="5C0BC740" w14:textId="77777777" w:rsidR="00562F5E" w:rsidRPr="007D2B24" w:rsidRDefault="00980E2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D2B24">
              <w:rPr>
                <w:rFonts w:ascii="Titillium Web" w:hAnsi="Titillium Web"/>
                <w:i/>
                <w:iCs/>
                <w:szCs w:val="24"/>
              </w:rPr>
              <w:t>2 kotylai a forma emisferica, a vernice nera scadente (uno ha un’ansa staccata); erano coperti da:</w:t>
            </w:r>
          </w:p>
          <w:p w14:paraId="4AE7C468" w14:textId="77777777" w:rsidR="00562F5E" w:rsidRPr="007D2B24" w:rsidRDefault="00980E2E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7D2B24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7D2B24">
              <w:rPr>
                <w:rFonts w:ascii="Titillium Web" w:hAnsi="Titillium Web"/>
                <w:i/>
                <w:iCs/>
                <w:szCs w:val="24"/>
              </w:rPr>
              <w:t xml:space="preserve"> piatti per pesce, con piede, a vernice nera scadente (uno interno e l’altro frammentato)</w:t>
            </w:r>
          </w:p>
          <w:p w14:paraId="3866A1AC" w14:textId="77777777" w:rsidR="00562F5E" w:rsidRPr="007D2B24" w:rsidRDefault="00980E2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D2B24">
              <w:rPr>
                <w:rFonts w:ascii="Titillium Web" w:hAnsi="Titillium Web"/>
                <w:i/>
                <w:iCs/>
                <w:szCs w:val="24"/>
              </w:rPr>
              <w:t>2 oinochoai a forma di trottola, con beccuccio verticale a cartoccio; sono a vern. nera, scadente e interi</w:t>
            </w:r>
          </w:p>
          <w:p w14:paraId="54551FCC" w14:textId="77777777" w:rsidR="00562F5E" w:rsidRPr="007D2B24" w:rsidRDefault="00980E2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D2B24">
              <w:rPr>
                <w:rFonts w:ascii="Titillium Web" w:hAnsi="Titillium Web"/>
                <w:i/>
                <w:iCs/>
                <w:szCs w:val="24"/>
              </w:rPr>
              <w:t>1 piccolissimo vasetto a forma di cratere a campana, a vern. nera scadente, frammentario nelle anse (una non si rinvenne)</w:t>
            </w:r>
          </w:p>
          <w:p w14:paraId="60B1A68E" w14:textId="77777777" w:rsidR="00562F5E" w:rsidRPr="007D2B24" w:rsidRDefault="00980E2E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7D2B24">
              <w:rPr>
                <w:rFonts w:ascii="Titillium Web" w:hAnsi="Titillium Web"/>
                <w:i/>
                <w:iCs/>
                <w:szCs w:val="24"/>
              </w:rPr>
              <w:t>6</w:t>
            </w:r>
            <w:proofErr w:type="gramEnd"/>
            <w:r w:rsidRPr="007D2B24">
              <w:rPr>
                <w:rFonts w:ascii="Titillium Web" w:hAnsi="Titillium Web"/>
                <w:i/>
                <w:iCs/>
                <w:szCs w:val="24"/>
              </w:rPr>
              <w:t xml:space="preserve"> tazze a vernice nera scadente, con impressioni di palmette all’interno (tre intere e tre frammentarie).</w:t>
            </w:r>
          </w:p>
          <w:p w14:paraId="1A4F8070" w14:textId="77777777" w:rsidR="00562F5E" w:rsidRPr="007D2B24" w:rsidRDefault="00980E2E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7D2B24">
              <w:rPr>
                <w:rFonts w:ascii="Titillium Web" w:hAnsi="Titillium Web"/>
                <w:i/>
                <w:iCs/>
                <w:szCs w:val="24"/>
              </w:rPr>
              <w:t>7</w:t>
            </w:r>
            <w:proofErr w:type="gramEnd"/>
            <w:r w:rsidRPr="007D2B24">
              <w:rPr>
                <w:rFonts w:ascii="Titillium Web" w:hAnsi="Titillium Web"/>
                <w:i/>
                <w:iCs/>
                <w:szCs w:val="24"/>
              </w:rPr>
              <w:t xml:space="preserve"> piattelli con pieduccio, a vernice nera scadente</w:t>
            </w:r>
          </w:p>
          <w:p w14:paraId="76FEFCE9" w14:textId="77777777" w:rsidR="00562F5E" w:rsidRPr="007D2B24" w:rsidRDefault="00980E2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D2B24">
              <w:rPr>
                <w:rFonts w:ascii="Titillium Web" w:hAnsi="Titillium Web"/>
                <w:i/>
                <w:iCs/>
                <w:szCs w:val="24"/>
              </w:rPr>
              <w:t>un mucchietto di conchiglie comuni</w:t>
            </w:r>
          </w:p>
          <w:p w14:paraId="2F3967A3" w14:textId="77777777" w:rsidR="00562F5E" w:rsidRPr="007D2B24" w:rsidRDefault="00980E2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D2B24">
              <w:rPr>
                <w:rFonts w:ascii="Titillium Web" w:hAnsi="Titillium Web"/>
                <w:i/>
                <w:iCs/>
                <w:szCs w:val="24"/>
              </w:rPr>
              <w:t>1 dischetto di osso forato</w:t>
            </w:r>
          </w:p>
          <w:p w14:paraId="4849AEC2" w14:textId="77777777" w:rsidR="00562F5E" w:rsidRPr="007D2B24" w:rsidRDefault="00980E2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D2B24">
              <w:rPr>
                <w:rFonts w:ascii="Titillium Web" w:hAnsi="Titillium Web"/>
                <w:i/>
                <w:iCs/>
                <w:szCs w:val="24"/>
              </w:rPr>
              <w:t>Sotto alle ossa combuste e ai fittili si rinvennero traccie di un tavolato di legno marcito.</w:t>
            </w:r>
          </w:p>
        </w:tc>
      </w:tr>
      <w:tr w:rsidR="0086297F" w:rsidRPr="007D2B24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7D2B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2B24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7D2B2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D2B24">
              <w:rPr>
                <w:rFonts w:ascii="Titillium Web" w:hAnsi="Titillium Web"/>
                <w:szCs w:val="24"/>
              </w:rPr>
              <w:t>Gruppo di oggetti sotto cui le ceneri</w:t>
            </w:r>
          </w:p>
        </w:tc>
      </w:tr>
      <w:tr w:rsidR="0086297F" w:rsidRPr="007D2B24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7D2B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2B24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7D2B2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D2B24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7D2B24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7D2B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2B24">
              <w:rPr>
                <w:rFonts w:ascii="Titillium Web" w:hAnsi="Titillium Web"/>
                <w:smallCaps/>
                <w:szCs w:val="24"/>
              </w:rPr>
              <w:lastRenderedPageBreak/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7D2B2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D2B2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D2B24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7D2B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2B24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7D2B2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D2B2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D2B24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7D2B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2B24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DC21A73" w14:textId="77777777" w:rsidR="00562F5E" w:rsidRPr="007D2B24" w:rsidRDefault="00980E2E" w:rsidP="007D2B24">
            <w:pPr>
              <w:jc w:val="center"/>
              <w:rPr>
                <w:rFonts w:ascii="Titillium Web" w:hAnsi="Titillium Web"/>
                <w:szCs w:val="24"/>
              </w:rPr>
            </w:pPr>
            <w:r w:rsidRPr="007D2B24">
              <w:rPr>
                <w:rFonts w:ascii="Titillium Web" w:eastAsia="Titillium" w:hAnsi="Titillium Web" w:cs="Titillium"/>
                <w:smallCaps/>
                <w:szCs w:val="24"/>
              </w:rPr>
              <w:t>Ruscelli</w:t>
            </w:r>
            <w:r w:rsidRPr="007D2B24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62F5E"/>
    <w:rsid w:val="005B5AFF"/>
    <w:rsid w:val="006162A4"/>
    <w:rsid w:val="006346F7"/>
    <w:rsid w:val="006939F1"/>
    <w:rsid w:val="006D6EFB"/>
    <w:rsid w:val="007145BC"/>
    <w:rsid w:val="007D2B24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247</Words>
  <Characters>1413</Characters>
  <Application>Microsoft Office Word</Application>
  <DocSecurity>0</DocSecurity>
  <Lines>11</Lines>
  <Paragraphs>3</Paragraphs>
  <ScaleCrop>false</ScaleCrop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2026-05-14T09:30:00Z</dcterms:modified>
</cp:coreProperties>
</file>