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1073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4254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4254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4254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4254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4254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14254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4254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4254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254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81476A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Tomba 1073 - a umazione</w:t>
            </w:r>
          </w:p>
          <w:p w14:paraId="3D9D7DFB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A m. 165,30 dal B, a m. 137,40 a sud del D. B., a m. 1,10 di profondità si rinviene una tomba a umazione.</w:t>
            </w:r>
          </w:p>
          <w:p w14:paraId="5DF6E32B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Lo scheletro è orientato da n.o. a s.e.: gradi 340 circa.</w:t>
            </w:r>
          </w:p>
          <w:p w14:paraId="6375D26B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Presso il fianco destro si raccolsero:</w:t>
            </w:r>
          </w:p>
          <w:p w14:paraId="3A163EFE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2 oinochoai piccoli a corpo cipolliforme, con bocca trilobata a ver. n. scadentissima; uno intero e l’altro con il fondo staccato.</w:t>
            </w:r>
          </w:p>
          <w:p w14:paraId="027B743D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2 kotylai emisferici a vern. nera scadentissima, uno intero e l’altro leggermente frammentato nel labbro.</w:t>
            </w:r>
          </w:p>
          <w:p w14:paraId="5526F318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Erano coperti da:</w:t>
            </w:r>
          </w:p>
          <w:p w14:paraId="5248BCA2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4254B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14254B">
              <w:rPr>
                <w:rFonts w:ascii="Titillium Web" w:hAnsi="Titillium Web"/>
                <w:i/>
                <w:iCs/>
                <w:szCs w:val="24"/>
              </w:rPr>
              <w:t xml:space="preserve"> scodelline apode, a vern. nera, scadentissima, intere e liscie (una conserva grafita una sigla)</w:t>
            </w:r>
          </w:p>
          <w:p w14:paraId="4B796652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1 altra scodellina idem, frammentaria, la quale conteneva gusci d’uova</w:t>
            </w:r>
          </w:p>
          <w:p w14:paraId="0B573EF8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1 altra scodella più grande, frammentata, a vernice nera scadentissima: liscia</w:t>
            </w:r>
          </w:p>
          <w:p w14:paraId="2D176824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1 scodellino con pieduccio, a vern. n. scadentissima, intero</w:t>
            </w:r>
          </w:p>
          <w:p w14:paraId="760301D2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4254B">
              <w:rPr>
                <w:rFonts w:ascii="Titillium Web" w:hAnsi="Titillium Web"/>
                <w:i/>
                <w:iCs/>
                <w:szCs w:val="24"/>
              </w:rPr>
              <w:t>5</w:t>
            </w:r>
            <w:proofErr w:type="gramEnd"/>
            <w:r w:rsidRPr="0014254B">
              <w:rPr>
                <w:rFonts w:ascii="Titillium Web" w:hAnsi="Titillium Web"/>
                <w:i/>
                <w:iCs/>
                <w:szCs w:val="24"/>
              </w:rPr>
              <w:t xml:space="preserve"> piccoli piattelli a vern. nera, scadentissima, con pieduccio, interi.</w:t>
            </w:r>
          </w:p>
          <w:p w14:paraId="6C69BFD6" w14:textId="77777777" w:rsidR="001F0A98" w:rsidRPr="0014254B" w:rsidRDefault="00922A6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254B">
              <w:rPr>
                <w:rFonts w:ascii="Titillium Web" w:hAnsi="Titillium Web"/>
                <w:i/>
                <w:iCs/>
                <w:szCs w:val="24"/>
              </w:rPr>
              <w:t>Sullo scheletro e sugli oggetti era un leggero strato di calce.</w:t>
            </w:r>
          </w:p>
        </w:tc>
      </w:tr>
      <w:tr w:rsidR="0086297F" w:rsidRPr="0014254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4254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254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254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lastRenderedPageBreak/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4254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254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4254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254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FF159F9" w14:textId="77777777" w:rsidR="001F0A98" w:rsidRPr="0014254B" w:rsidRDefault="00922A60" w:rsidP="0014254B">
            <w:pPr>
              <w:jc w:val="center"/>
              <w:rPr>
                <w:rFonts w:ascii="Titillium Web" w:hAnsi="Titillium Web"/>
                <w:szCs w:val="24"/>
              </w:rPr>
            </w:pPr>
            <w:r w:rsidRPr="0014254B">
              <w:rPr>
                <w:rFonts w:ascii="Titillium Web" w:eastAsia="Titillium" w:hAnsi="Titillium Web" w:cs="Titillium"/>
                <w:smallCaps/>
                <w:szCs w:val="24"/>
              </w:rPr>
              <w:t>Guarnieri</w:t>
            </w:r>
            <w:r w:rsidRPr="0014254B">
              <w:rPr>
                <w:rFonts w:ascii="Titillium Web" w:eastAsia="Titillium" w:hAnsi="Titillium Web" w:cs="Titillium"/>
                <w:szCs w:val="24"/>
              </w:rPr>
              <w:t xml:space="preserve"> 1993, p. 184, nota 11; </w:t>
            </w:r>
            <w:r w:rsidRPr="0014254B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14254B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254B"/>
    <w:rsid w:val="001C17CC"/>
    <w:rsid w:val="001F0A98"/>
    <w:rsid w:val="002977D7"/>
    <w:rsid w:val="00472AF4"/>
    <w:rsid w:val="00551AF8"/>
    <w:rsid w:val="005B5AFF"/>
    <w:rsid w:val="006162A4"/>
    <w:rsid w:val="006346F7"/>
    <w:rsid w:val="006D6EFB"/>
    <w:rsid w:val="007145BC"/>
    <w:rsid w:val="00850DD0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2026-05-14T09:28:00Z</dcterms:modified>
</cp:coreProperties>
</file>