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F8408" w14:textId="0B5C78B4" w:rsidR="00472AF4" w:rsidRPr="00C30F5C" w:rsidRDefault="00014214" w:rsidP="001B5504">
      <w:pPr>
        <w:jc w:val="center"/>
        <w:rPr>
          <w:rFonts w:ascii="Titillium Web" w:hAnsi="Titillium Web"/>
          <w:b/>
          <w:bCs/>
          <w:sz w:val="28"/>
          <w:szCs w:val="24"/>
        </w:rPr>
      </w:pPr>
      <w:r w:rsidRPr="00C30F5C">
        <w:rPr>
          <w:rFonts w:ascii="Titillium Web" w:hAnsi="Titillium Web"/>
          <w:b/>
          <w:bCs/>
          <w:sz w:val="28"/>
          <w:szCs w:val="24"/>
        </w:rPr>
        <w:t>Valle Trebba – Tomba 108</w:t>
      </w:r>
    </w:p>
    <w:tbl>
      <w:tblPr>
        <w:tblStyle w:val="Grigliatabella"/>
        <w:tblW w:w="5000" w:type="pct"/>
        <w:jc w:val="center"/>
        <w:tblLook w:val="04A0" w:firstRow="1" w:lastRow="0" w:firstColumn="1" w:lastColumn="0" w:noHBand="0" w:noVBand="1"/>
      </w:tblPr>
      <w:tblGrid>
        <w:gridCol w:w="2990"/>
        <w:gridCol w:w="6070"/>
      </w:tblGrid>
      <w:tr w:rsidR="001B5504" w:rsidRPr="002C44D2" w14:paraId="7E897B51" w14:textId="77777777" w:rsidTr="001B5504">
        <w:trPr>
          <w:jc w:val="center"/>
        </w:trPr>
        <w:tc>
          <w:tcPr>
            <w:tcW w:w="1650" w:type="pct"/>
            <w:vAlign w:val="center"/>
          </w:tcPr>
          <w:p w14:paraId="42CC7784" w14:textId="77777777" w:rsidR="001B5504" w:rsidRPr="002C44D2" w:rsidRDefault="001B5504" w:rsidP="00BF212E">
            <w:pPr>
              <w:jc w:val="center"/>
              <w:rPr>
                <w:rFonts w:ascii="Titillium Web" w:hAnsi="Titillium Web"/>
                <w:smallCaps/>
                <w:szCs w:val="24"/>
              </w:rPr>
            </w:pPr>
            <w:r w:rsidRPr="002C44D2">
              <w:rPr>
                <w:rFonts w:ascii="Titillium Web" w:hAnsi="Titillium Web"/>
                <w:smallCaps/>
                <w:szCs w:val="24"/>
              </w:rPr>
              <w:t>Anno di rinvenimento</w:t>
            </w:r>
          </w:p>
        </w:tc>
        <w:tc>
          <w:tcPr>
            <w:tcW w:w="3350" w:type="pct"/>
            <w:vAlign w:val="center"/>
          </w:tcPr>
          <w:p w14:paraId="3911E4F6" w14:textId="6BFD1686" w:rsidR="001B5504" w:rsidRPr="002C44D2" w:rsidRDefault="001B5504" w:rsidP="00BF212E">
            <w:pPr>
              <w:jc w:val="center"/>
              <w:rPr>
                <w:rFonts w:ascii="Titillium Web" w:hAnsi="Titillium Web"/>
                <w:szCs w:val="24"/>
              </w:rPr>
            </w:pPr>
            <w:r w:rsidRPr="002C44D2">
              <w:rPr>
                <w:rFonts w:ascii="Titillium Web" w:hAnsi="Titillium Web"/>
                <w:szCs w:val="24"/>
              </w:rPr>
              <w:t>1923</w:t>
            </w:r>
          </w:p>
        </w:tc>
      </w:tr>
      <w:tr w:rsidR="001B5504" w:rsidRPr="002C44D2" w14:paraId="4120B077" w14:textId="77777777" w:rsidTr="001B5504">
        <w:trPr>
          <w:jc w:val="center"/>
        </w:trPr>
        <w:tc>
          <w:tcPr>
            <w:tcW w:w="1650" w:type="pct"/>
            <w:vAlign w:val="center"/>
          </w:tcPr>
          <w:p w14:paraId="7B4CDD57" w14:textId="77777777" w:rsidR="001B5504" w:rsidRPr="002C44D2" w:rsidRDefault="001B5504" w:rsidP="00BF212E">
            <w:pPr>
              <w:jc w:val="center"/>
              <w:rPr>
                <w:rFonts w:ascii="Titillium Web" w:hAnsi="Titillium Web"/>
                <w:smallCaps/>
                <w:szCs w:val="24"/>
              </w:rPr>
            </w:pPr>
            <w:r w:rsidRPr="002C44D2">
              <w:rPr>
                <w:rFonts w:ascii="Titillium Web" w:hAnsi="Titillium Web"/>
                <w:smallCaps/>
                <w:szCs w:val="24"/>
              </w:rPr>
              <w:t>Stato di conservazione della tomba</w:t>
            </w:r>
          </w:p>
        </w:tc>
        <w:tc>
          <w:tcPr>
            <w:tcW w:w="3350" w:type="pct"/>
            <w:vAlign w:val="center"/>
          </w:tcPr>
          <w:p w14:paraId="4ED449D1" w14:textId="67560E4F" w:rsidR="001B5504" w:rsidRPr="002C44D2" w:rsidRDefault="001B5504" w:rsidP="00BF212E">
            <w:pPr>
              <w:jc w:val="center"/>
              <w:rPr>
                <w:rFonts w:ascii="Titillium Web" w:hAnsi="Titillium Web"/>
                <w:szCs w:val="24"/>
              </w:rPr>
            </w:pPr>
            <w:r w:rsidRPr="002C44D2">
              <w:rPr>
                <w:rFonts w:ascii="Titillium Web" w:hAnsi="Titillium Web"/>
                <w:szCs w:val="24"/>
              </w:rPr>
              <w:t>Intatta</w:t>
            </w:r>
          </w:p>
        </w:tc>
      </w:tr>
      <w:tr w:rsidR="001B5504" w:rsidRPr="002C44D2" w14:paraId="7A448E9D" w14:textId="77777777" w:rsidTr="001B5504">
        <w:trPr>
          <w:jc w:val="center"/>
        </w:trPr>
        <w:tc>
          <w:tcPr>
            <w:tcW w:w="1650" w:type="pct"/>
            <w:vAlign w:val="center"/>
          </w:tcPr>
          <w:p w14:paraId="1E1EA165" w14:textId="77777777" w:rsidR="001B5504" w:rsidRPr="002C44D2" w:rsidRDefault="001B5504" w:rsidP="00BF212E">
            <w:pPr>
              <w:jc w:val="center"/>
              <w:rPr>
                <w:rFonts w:ascii="Titillium Web" w:hAnsi="Titillium Web"/>
                <w:smallCaps/>
                <w:szCs w:val="24"/>
              </w:rPr>
            </w:pPr>
            <w:r w:rsidRPr="002C44D2">
              <w:rPr>
                <w:rFonts w:ascii="Titillium Web" w:hAnsi="Titillium Web"/>
                <w:smallCaps/>
                <w:szCs w:val="24"/>
              </w:rPr>
              <w:t>Rito di seppellimento</w:t>
            </w:r>
          </w:p>
        </w:tc>
        <w:tc>
          <w:tcPr>
            <w:tcW w:w="3350" w:type="pct"/>
            <w:vAlign w:val="center"/>
          </w:tcPr>
          <w:p w14:paraId="18226334" w14:textId="6B6FE1CF" w:rsidR="001B5504" w:rsidRPr="002C44D2" w:rsidRDefault="001B5504" w:rsidP="00BF212E">
            <w:pPr>
              <w:jc w:val="center"/>
              <w:rPr>
                <w:rFonts w:ascii="Titillium Web" w:hAnsi="Titillium Web"/>
                <w:szCs w:val="24"/>
              </w:rPr>
            </w:pPr>
            <w:r w:rsidRPr="002C44D2">
              <w:rPr>
                <w:rFonts w:ascii="Titillium Web" w:hAnsi="Titillium Web"/>
                <w:szCs w:val="24"/>
              </w:rPr>
              <w:t>Cremazione</w:t>
            </w:r>
          </w:p>
        </w:tc>
      </w:tr>
      <w:tr w:rsidR="001B5504" w:rsidRPr="002C44D2" w14:paraId="31276AA4" w14:textId="77777777" w:rsidTr="001B5504">
        <w:trPr>
          <w:jc w:val="center"/>
        </w:trPr>
        <w:tc>
          <w:tcPr>
            <w:tcW w:w="1650" w:type="pct"/>
            <w:vAlign w:val="center"/>
          </w:tcPr>
          <w:p w14:paraId="33201D3D" w14:textId="77777777" w:rsidR="001B5504" w:rsidRPr="002C44D2" w:rsidRDefault="001B5504" w:rsidP="00BF212E">
            <w:pPr>
              <w:jc w:val="center"/>
              <w:rPr>
                <w:rFonts w:ascii="Titillium Web" w:hAnsi="Titillium Web"/>
                <w:smallCaps/>
                <w:szCs w:val="24"/>
              </w:rPr>
            </w:pPr>
            <w:r w:rsidRPr="002C44D2">
              <w:rPr>
                <w:rFonts w:ascii="Titillium Web" w:hAnsi="Titillium Web"/>
                <w:smallCaps/>
                <w:szCs w:val="24"/>
              </w:rPr>
              <w:t>Struttura tomba</w:t>
            </w:r>
          </w:p>
        </w:tc>
        <w:tc>
          <w:tcPr>
            <w:tcW w:w="3350" w:type="pct"/>
            <w:vAlign w:val="center"/>
          </w:tcPr>
          <w:p w14:paraId="720E7EE7" w14:textId="3E36BEBB" w:rsidR="001B5504" w:rsidRPr="002C44D2" w:rsidRDefault="001B5504" w:rsidP="00BF212E">
            <w:pPr>
              <w:jc w:val="center"/>
              <w:rPr>
                <w:rFonts w:ascii="Titillium Web" w:hAnsi="Titillium Web"/>
                <w:szCs w:val="24"/>
              </w:rPr>
            </w:pPr>
            <w:r w:rsidRPr="002C44D2">
              <w:rPr>
                <w:rFonts w:ascii="Titillium Web" w:hAnsi="Titillium Web"/>
                <w:szCs w:val="24"/>
              </w:rPr>
              <w:t>Pozzetto semplice</w:t>
            </w:r>
          </w:p>
        </w:tc>
      </w:tr>
      <w:tr w:rsidR="001B5504" w:rsidRPr="002C44D2" w14:paraId="07337DA2" w14:textId="77777777" w:rsidTr="001B5504">
        <w:trPr>
          <w:jc w:val="center"/>
        </w:trPr>
        <w:tc>
          <w:tcPr>
            <w:tcW w:w="1650" w:type="pct"/>
            <w:vAlign w:val="center"/>
          </w:tcPr>
          <w:p w14:paraId="5032DFD5" w14:textId="77777777" w:rsidR="001B5504" w:rsidRPr="002C44D2" w:rsidRDefault="001B5504" w:rsidP="00BF212E">
            <w:pPr>
              <w:jc w:val="center"/>
              <w:rPr>
                <w:rFonts w:ascii="Titillium Web" w:hAnsi="Titillium Web"/>
                <w:smallCaps/>
                <w:szCs w:val="24"/>
              </w:rPr>
            </w:pPr>
            <w:r w:rsidRPr="002C44D2">
              <w:rPr>
                <w:rFonts w:ascii="Titillium Web" w:hAnsi="Titillium Web"/>
                <w:smallCaps/>
                <w:szCs w:val="24"/>
              </w:rPr>
              <w:t>Profondità dal piano di campagna</w:t>
            </w:r>
          </w:p>
        </w:tc>
        <w:tc>
          <w:tcPr>
            <w:tcW w:w="3350" w:type="pct"/>
            <w:vAlign w:val="center"/>
          </w:tcPr>
          <w:p w14:paraId="4AC1C871" w14:textId="553FE193" w:rsidR="001B5504" w:rsidRPr="002C44D2" w:rsidRDefault="001B5504" w:rsidP="00BF212E">
            <w:pPr>
              <w:jc w:val="center"/>
              <w:rPr>
                <w:rFonts w:ascii="Titillium Web" w:hAnsi="Titillium Web"/>
                <w:szCs w:val="24"/>
              </w:rPr>
            </w:pPr>
            <w:r w:rsidRPr="002C44D2">
              <w:rPr>
                <w:rFonts w:ascii="Titillium Web" w:hAnsi="Titillium Web"/>
                <w:szCs w:val="24"/>
              </w:rPr>
              <w:t>1,0 m</w:t>
            </w:r>
          </w:p>
        </w:tc>
      </w:tr>
      <w:tr w:rsidR="001B5504" w:rsidRPr="002C44D2" w14:paraId="16F9D287" w14:textId="77777777" w:rsidTr="001B5504">
        <w:trPr>
          <w:jc w:val="center"/>
        </w:trPr>
        <w:tc>
          <w:tcPr>
            <w:tcW w:w="1650" w:type="pct"/>
            <w:vAlign w:val="center"/>
          </w:tcPr>
          <w:p w14:paraId="5D675683" w14:textId="77777777" w:rsidR="001B5504" w:rsidRPr="002C44D2" w:rsidRDefault="001B5504" w:rsidP="00BF212E">
            <w:pPr>
              <w:jc w:val="center"/>
              <w:rPr>
                <w:rFonts w:ascii="Titillium Web" w:hAnsi="Titillium Web"/>
                <w:smallCaps/>
                <w:szCs w:val="24"/>
              </w:rPr>
            </w:pPr>
            <w:r w:rsidRPr="002C44D2">
              <w:rPr>
                <w:rFonts w:ascii="Titillium Web" w:hAnsi="Titillium Web"/>
                <w:smallCaps/>
                <w:szCs w:val="24"/>
              </w:rPr>
              <w:t>Dimensioni della sepoltura</w:t>
            </w:r>
          </w:p>
        </w:tc>
        <w:tc>
          <w:tcPr>
            <w:tcW w:w="3350" w:type="pct"/>
            <w:vAlign w:val="center"/>
          </w:tcPr>
          <w:p w14:paraId="606ED54D" w14:textId="0EBDB5D9" w:rsidR="001B5504" w:rsidRPr="002C44D2" w:rsidRDefault="001B5504" w:rsidP="00BF212E">
            <w:pPr>
              <w:jc w:val="center"/>
              <w:rPr>
                <w:rFonts w:ascii="Titillium Web" w:hAnsi="Titillium Web"/>
                <w:szCs w:val="24"/>
              </w:rPr>
            </w:pPr>
            <w:r w:rsidRPr="002C44D2">
              <w:rPr>
                <w:rFonts w:ascii="Titillium Web" w:hAnsi="Titillium Web"/>
                <w:szCs w:val="24"/>
              </w:rPr>
              <w:t>Dimensioni non registrate</w:t>
            </w:r>
          </w:p>
        </w:tc>
      </w:tr>
      <w:tr w:rsidR="001B5504" w:rsidRPr="002C44D2" w14:paraId="3DCDE8C5" w14:textId="77777777" w:rsidTr="001B5504">
        <w:trPr>
          <w:jc w:val="center"/>
        </w:trPr>
        <w:tc>
          <w:tcPr>
            <w:tcW w:w="1650" w:type="pct"/>
            <w:vAlign w:val="center"/>
          </w:tcPr>
          <w:p w14:paraId="090E3992" w14:textId="77777777" w:rsidR="001B5504" w:rsidRPr="002C44D2" w:rsidRDefault="001B5504" w:rsidP="00BF212E">
            <w:pPr>
              <w:jc w:val="center"/>
              <w:rPr>
                <w:rFonts w:ascii="Titillium Web" w:hAnsi="Titillium Web"/>
                <w:smallCaps/>
                <w:szCs w:val="24"/>
              </w:rPr>
            </w:pPr>
            <w:r w:rsidRPr="002C44D2">
              <w:rPr>
                <w:rFonts w:ascii="Titillium Web" w:hAnsi="Titillium Web"/>
                <w:smallCaps/>
                <w:szCs w:val="24"/>
              </w:rPr>
              <w:t>Orientamento dello scheletro</w:t>
            </w:r>
          </w:p>
        </w:tc>
        <w:tc>
          <w:tcPr>
            <w:tcW w:w="3350" w:type="pct"/>
            <w:vAlign w:val="center"/>
          </w:tcPr>
          <w:p w14:paraId="01C3562F" w14:textId="363BAA03" w:rsidR="001B5504" w:rsidRPr="002C44D2" w:rsidRDefault="00174701" w:rsidP="00BF212E">
            <w:pPr>
              <w:jc w:val="center"/>
              <w:rPr>
                <w:rFonts w:ascii="Titillium Web" w:hAnsi="Titillium Web"/>
                <w:szCs w:val="24"/>
              </w:rPr>
            </w:pPr>
            <w:r w:rsidRPr="002C44D2">
              <w:rPr>
                <w:rFonts w:ascii="Titillium Web" w:hAnsi="Titillium Web"/>
                <w:szCs w:val="24"/>
              </w:rPr>
              <w:t>/</w:t>
            </w:r>
          </w:p>
        </w:tc>
      </w:tr>
      <w:tr w:rsidR="001B5504" w:rsidRPr="002C44D2" w14:paraId="5978151F" w14:textId="77777777" w:rsidTr="001B5504">
        <w:trPr>
          <w:jc w:val="center"/>
        </w:trPr>
        <w:tc>
          <w:tcPr>
            <w:tcW w:w="1650" w:type="pct"/>
            <w:vAlign w:val="center"/>
          </w:tcPr>
          <w:p w14:paraId="1F67A10B" w14:textId="77777777" w:rsidR="001B5504" w:rsidRPr="002C44D2" w:rsidRDefault="001B5504" w:rsidP="00BF212E">
            <w:pPr>
              <w:jc w:val="center"/>
              <w:rPr>
                <w:rFonts w:ascii="Titillium Web" w:hAnsi="Titillium Web"/>
                <w:smallCaps/>
                <w:szCs w:val="24"/>
              </w:rPr>
            </w:pPr>
            <w:r w:rsidRPr="002C44D2">
              <w:rPr>
                <w:rFonts w:ascii="Titillium Web" w:hAnsi="Titillium Web"/>
                <w:smallCaps/>
                <w:szCs w:val="24"/>
              </w:rPr>
              <w:t>Segnacolo</w:t>
            </w:r>
          </w:p>
        </w:tc>
        <w:tc>
          <w:tcPr>
            <w:tcW w:w="3350" w:type="pct"/>
            <w:vAlign w:val="center"/>
          </w:tcPr>
          <w:p w14:paraId="6599D472" w14:textId="29F60FD4" w:rsidR="001B5504" w:rsidRPr="002C44D2" w:rsidRDefault="00174701" w:rsidP="00BF212E">
            <w:pPr>
              <w:jc w:val="center"/>
              <w:rPr>
                <w:rFonts w:ascii="Titillium Web" w:hAnsi="Titillium Web"/>
                <w:szCs w:val="24"/>
              </w:rPr>
            </w:pPr>
            <w:r w:rsidRPr="002C44D2">
              <w:rPr>
                <w:rFonts w:ascii="Titillium Web" w:hAnsi="Titillium Web"/>
                <w:szCs w:val="24"/>
              </w:rPr>
              <w:t>/</w:t>
            </w:r>
          </w:p>
        </w:tc>
      </w:tr>
      <w:tr w:rsidR="001B5504" w:rsidRPr="002C44D2" w14:paraId="28E05F99" w14:textId="77777777" w:rsidTr="001B5504">
        <w:trPr>
          <w:jc w:val="center"/>
        </w:trPr>
        <w:tc>
          <w:tcPr>
            <w:tcW w:w="1650" w:type="pct"/>
            <w:vAlign w:val="center"/>
          </w:tcPr>
          <w:p w14:paraId="6ECF1BD4" w14:textId="77777777" w:rsidR="001B5504" w:rsidRPr="002C44D2" w:rsidRDefault="001B5504" w:rsidP="001F2833">
            <w:pPr>
              <w:spacing w:before="120" w:after="120"/>
              <w:jc w:val="center"/>
              <w:rPr>
                <w:rFonts w:ascii="Titillium Web" w:hAnsi="Titillium Web"/>
                <w:smallCaps/>
                <w:szCs w:val="24"/>
              </w:rPr>
            </w:pPr>
            <w:r w:rsidRPr="002C44D2">
              <w:rPr>
                <w:rFonts w:ascii="Titillium Web" w:hAnsi="Titillium Web"/>
                <w:smallCaps/>
                <w:szCs w:val="24"/>
              </w:rPr>
              <w:t>Giornale di scavo (GdS)</w:t>
            </w:r>
          </w:p>
        </w:tc>
        <w:tc>
          <w:tcPr>
            <w:tcW w:w="3350" w:type="pct"/>
            <w:vAlign w:val="center"/>
          </w:tcPr>
          <w:p w14:paraId="41B0959B" w14:textId="77777777" w:rsidR="00AB756A" w:rsidRPr="002C44D2" w:rsidRDefault="00AB756A" w:rsidP="00AB756A">
            <w:pPr>
              <w:rPr>
                <w:rFonts w:ascii="Titillium Web" w:hAnsi="Titillium Web" w:cs="Times New Roman"/>
                <w:i/>
                <w:iCs/>
                <w:szCs w:val="24"/>
              </w:rPr>
            </w:pPr>
            <w:proofErr w:type="spellStart"/>
            <w:r w:rsidRPr="002C44D2">
              <w:rPr>
                <w:rFonts w:ascii="Titillium Web" w:hAnsi="Titillium Web" w:cs="Times New Roman"/>
                <w:i/>
                <w:iCs/>
                <w:szCs w:val="24"/>
              </w:rPr>
              <w:t>li</w:t>
            </w:r>
            <w:proofErr w:type="spellEnd"/>
            <w:r w:rsidRPr="002C44D2">
              <w:rPr>
                <w:rFonts w:ascii="Titillium Web" w:hAnsi="Titillium Web" w:cs="Times New Roman"/>
                <w:i/>
                <w:iCs/>
                <w:szCs w:val="24"/>
              </w:rPr>
              <w:t xml:space="preserve"> 28 maggio – </w:t>
            </w:r>
          </w:p>
          <w:p w14:paraId="2E683AFE" w14:textId="77777777" w:rsidR="00AB756A" w:rsidRPr="002C44D2" w:rsidRDefault="00AB756A" w:rsidP="00AB756A">
            <w:pPr>
              <w:rPr>
                <w:rFonts w:ascii="Titillium Web" w:hAnsi="Titillium Web" w:cs="Times New Roman"/>
                <w:i/>
                <w:iCs/>
                <w:szCs w:val="24"/>
              </w:rPr>
            </w:pPr>
            <w:r w:rsidRPr="002C44D2">
              <w:rPr>
                <w:rFonts w:ascii="Titillium Web" w:hAnsi="Titillium Web" w:cs="Times New Roman"/>
                <w:i/>
                <w:iCs/>
                <w:szCs w:val="24"/>
              </w:rPr>
              <w:t xml:space="preserve">Stamane sono ritornato alla motta a Sud del Canale </w:t>
            </w:r>
            <w:proofErr w:type="spellStart"/>
            <w:r w:rsidRPr="002C44D2">
              <w:rPr>
                <w:rFonts w:ascii="Titillium Web" w:hAnsi="Titillium Web" w:cs="Times New Roman"/>
                <w:i/>
                <w:iCs/>
                <w:szCs w:val="24"/>
              </w:rPr>
              <w:t>Ortazzi</w:t>
            </w:r>
            <w:proofErr w:type="spellEnd"/>
            <w:r w:rsidRPr="002C44D2">
              <w:rPr>
                <w:rFonts w:ascii="Titillium Web" w:hAnsi="Titillium Web" w:cs="Times New Roman"/>
                <w:i/>
                <w:iCs/>
                <w:szCs w:val="24"/>
              </w:rPr>
              <w:t xml:space="preserve"> ed ho proseguito lo scavo a nord del frumento ove la scorsa settimana si sono rinvenute le tombe saccheggiate – n° </w:t>
            </w:r>
            <w:r w:rsidRPr="002C44D2">
              <w:rPr>
                <w:rFonts w:ascii="Titillium Web" w:hAnsi="Titillium Web" w:cs="Times New Roman"/>
                <w:i/>
                <w:iCs/>
                <w:strike/>
                <w:szCs w:val="24"/>
              </w:rPr>
              <w:t xml:space="preserve">58-61-62-63 </w:t>
            </w:r>
            <w:r w:rsidRPr="002C44D2">
              <w:rPr>
                <w:rFonts w:ascii="Titillium Web" w:hAnsi="Titillium Web" w:cs="Times New Roman"/>
                <w:i/>
                <w:iCs/>
                <w:szCs w:val="24"/>
              </w:rPr>
              <w:t>– 102-105-106-107</w:t>
            </w:r>
            <w:r w:rsidRPr="002C44D2">
              <w:rPr>
                <w:rFonts w:ascii="Titillium Web" w:hAnsi="Titillium Web" w:cs="Times New Roman"/>
                <w:szCs w:val="24"/>
              </w:rPr>
              <w:t>.</w:t>
            </w:r>
          </w:p>
          <w:p w14:paraId="6FABFA63" w14:textId="77777777" w:rsidR="00AB756A" w:rsidRPr="002C44D2" w:rsidRDefault="00AB756A" w:rsidP="00AB756A">
            <w:pPr>
              <w:rPr>
                <w:rFonts w:ascii="Titillium Web" w:hAnsi="Titillium Web" w:cs="Times New Roman"/>
                <w:i/>
                <w:iCs/>
                <w:szCs w:val="24"/>
              </w:rPr>
            </w:pPr>
          </w:p>
          <w:p w14:paraId="33B1992F" w14:textId="77777777" w:rsidR="00AB756A" w:rsidRPr="002C44D2" w:rsidRDefault="00AB756A" w:rsidP="00AB756A">
            <w:pPr>
              <w:rPr>
                <w:rFonts w:ascii="Titillium Web" w:hAnsi="Titillium Web" w:cs="Times New Roman"/>
                <w:i/>
                <w:iCs/>
                <w:szCs w:val="24"/>
              </w:rPr>
            </w:pPr>
            <w:r w:rsidRPr="002C44D2">
              <w:rPr>
                <w:rFonts w:ascii="Titillium Web" w:hAnsi="Titillium Web" w:cs="Times New Roman"/>
                <w:i/>
                <w:iCs/>
                <w:szCs w:val="24"/>
              </w:rPr>
              <w:t>108 Tomba &lt;a cremazione&gt;</w:t>
            </w:r>
          </w:p>
          <w:p w14:paraId="3F4E653C" w14:textId="77777777" w:rsidR="00AB756A" w:rsidRPr="002C44D2" w:rsidRDefault="00AB756A" w:rsidP="00AB756A">
            <w:pPr>
              <w:rPr>
                <w:rFonts w:ascii="Titillium Web" w:hAnsi="Titillium Web" w:cs="Times New Roman"/>
                <w:i/>
                <w:iCs/>
                <w:szCs w:val="24"/>
              </w:rPr>
            </w:pPr>
            <w:r w:rsidRPr="002C44D2">
              <w:rPr>
                <w:rFonts w:ascii="Titillium Web" w:hAnsi="Titillium Web" w:cs="Times New Roman"/>
                <w:i/>
                <w:iCs/>
                <w:szCs w:val="24"/>
              </w:rPr>
              <w:t xml:space="preserve">A m. 2 a </w:t>
            </w:r>
            <w:proofErr w:type="spellStart"/>
            <w:r w:rsidRPr="002C44D2">
              <w:rPr>
                <w:rFonts w:ascii="Titillium Web" w:hAnsi="Titillium Web" w:cs="Times New Roman"/>
                <w:i/>
                <w:iCs/>
                <w:szCs w:val="24"/>
              </w:rPr>
              <w:t>pon</w:t>
            </w:r>
            <w:proofErr w:type="spellEnd"/>
            <w:r w:rsidRPr="002C44D2">
              <w:rPr>
                <w:rFonts w:ascii="Titillium Web" w:hAnsi="Titillium Web" w:cs="Times New Roman"/>
                <w:i/>
                <w:iCs/>
                <w:szCs w:val="24"/>
              </w:rPr>
              <w:t xml:space="preserve">. della </w:t>
            </w:r>
            <w:r w:rsidRPr="002C44D2">
              <w:rPr>
                <w:rFonts w:ascii="Titillium Web" w:hAnsi="Titillium Web" w:cs="Times New Roman"/>
                <w:i/>
                <w:iCs/>
                <w:strike/>
                <w:szCs w:val="24"/>
              </w:rPr>
              <w:t>58a</w:t>
            </w:r>
            <w:r w:rsidRPr="002C44D2">
              <w:rPr>
                <w:rFonts w:ascii="Titillium Web" w:hAnsi="Titillium Web" w:cs="Times New Roman"/>
                <w:i/>
                <w:iCs/>
                <w:szCs w:val="24"/>
              </w:rPr>
              <w:t xml:space="preserve"> 102, e a m. 1,00 di prof-</w:t>
            </w:r>
            <w:proofErr w:type="spellStart"/>
            <w:r w:rsidRPr="002C44D2">
              <w:rPr>
                <w:rFonts w:ascii="Titillium Web" w:hAnsi="Titillium Web" w:cs="Times New Roman"/>
                <w:i/>
                <w:iCs/>
                <w:szCs w:val="24"/>
              </w:rPr>
              <w:t>tà</w:t>
            </w:r>
            <w:proofErr w:type="spellEnd"/>
            <w:r w:rsidRPr="002C44D2">
              <w:rPr>
                <w:rFonts w:ascii="Titillium Web" w:hAnsi="Titillium Web" w:cs="Times New Roman"/>
                <w:i/>
                <w:iCs/>
                <w:szCs w:val="24"/>
              </w:rPr>
              <w:t xml:space="preserve">, si rinviene </w:t>
            </w:r>
            <w:r w:rsidRPr="002C44D2">
              <w:rPr>
                <w:rFonts w:ascii="Titillium Web" w:hAnsi="Titillium Web" w:cs="Times New Roman"/>
                <w:i/>
                <w:iCs/>
                <w:szCs w:val="24"/>
                <w:u w:val="single"/>
              </w:rPr>
              <w:t xml:space="preserve">un </w:t>
            </w:r>
            <w:proofErr w:type="spellStart"/>
            <w:r w:rsidRPr="002C44D2">
              <w:rPr>
                <w:rFonts w:ascii="Titillium Web" w:hAnsi="Titillium Web" w:cs="Times New Roman"/>
                <w:i/>
                <w:iCs/>
                <w:szCs w:val="24"/>
                <w:u w:val="single"/>
              </w:rPr>
              <w:t>dolietto</w:t>
            </w:r>
            <w:proofErr w:type="spellEnd"/>
            <w:r w:rsidRPr="002C44D2">
              <w:rPr>
                <w:rFonts w:ascii="Titillium Web" w:hAnsi="Titillium Web" w:cs="Times New Roman"/>
                <w:i/>
                <w:iCs/>
                <w:szCs w:val="24"/>
                <w:u w:val="single"/>
              </w:rPr>
              <w:t xml:space="preserve"> grezzo</w:t>
            </w:r>
            <w:r w:rsidRPr="002C44D2">
              <w:rPr>
                <w:rFonts w:ascii="Titillium Web" w:hAnsi="Titillium Web" w:cs="Times New Roman"/>
                <w:i/>
                <w:iCs/>
                <w:szCs w:val="24"/>
              </w:rPr>
              <w:t xml:space="preserve">, di </w:t>
            </w:r>
            <w:proofErr w:type="gramStart"/>
            <w:r w:rsidRPr="002C44D2">
              <w:rPr>
                <w:rFonts w:ascii="Titillium Web" w:hAnsi="Titillium Web" w:cs="Times New Roman"/>
                <w:i/>
                <w:iCs/>
                <w:szCs w:val="24"/>
              </w:rPr>
              <w:t>terra cotta</w:t>
            </w:r>
            <w:proofErr w:type="gramEnd"/>
            <w:r w:rsidRPr="002C44D2">
              <w:rPr>
                <w:rFonts w:ascii="Titillium Web" w:hAnsi="Titillium Web" w:cs="Times New Roman"/>
                <w:i/>
                <w:iCs/>
                <w:szCs w:val="24"/>
              </w:rPr>
              <w:t xml:space="preserve">, liscio coperto da </w:t>
            </w:r>
            <w:r w:rsidRPr="002C44D2">
              <w:rPr>
                <w:rFonts w:ascii="Titillium Web" w:hAnsi="Titillium Web" w:cs="Times New Roman"/>
                <w:i/>
                <w:iCs/>
                <w:szCs w:val="24"/>
                <w:u w:val="single"/>
              </w:rPr>
              <w:t>una ciotola di terra</w:t>
            </w:r>
            <w:r w:rsidRPr="002C44D2">
              <w:rPr>
                <w:rFonts w:ascii="Titillium Web" w:hAnsi="Titillium Web" w:cs="Times New Roman"/>
                <w:i/>
                <w:iCs/>
                <w:szCs w:val="24"/>
              </w:rPr>
              <w:t xml:space="preserve"> eguale al dolio e tutta in frammenti.</w:t>
            </w:r>
          </w:p>
          <w:p w14:paraId="1A6B7E7E" w14:textId="2469BD04" w:rsidR="001B5504" w:rsidRPr="002C44D2" w:rsidRDefault="00AB756A" w:rsidP="00AB756A">
            <w:pPr>
              <w:rPr>
                <w:rFonts w:ascii="Titillium Web" w:hAnsi="Titillium Web" w:cs="Times New Roman"/>
                <w:i/>
                <w:iCs/>
                <w:szCs w:val="24"/>
              </w:rPr>
            </w:pPr>
            <w:r w:rsidRPr="002C44D2">
              <w:rPr>
                <w:rFonts w:ascii="Titillium Web" w:hAnsi="Titillium Web" w:cs="Times New Roman"/>
                <w:i/>
                <w:iCs/>
                <w:szCs w:val="24"/>
              </w:rPr>
              <w:t xml:space="preserve">Fra le ceneri nulla – </w:t>
            </w:r>
          </w:p>
        </w:tc>
      </w:tr>
      <w:tr w:rsidR="001B5504" w:rsidRPr="002C44D2" w14:paraId="4CA65959" w14:textId="77777777" w:rsidTr="001B5504">
        <w:trPr>
          <w:jc w:val="center"/>
        </w:trPr>
        <w:tc>
          <w:tcPr>
            <w:tcW w:w="1650" w:type="pct"/>
            <w:vAlign w:val="center"/>
          </w:tcPr>
          <w:p w14:paraId="42C0306C" w14:textId="77777777" w:rsidR="001B5504" w:rsidRPr="002C44D2" w:rsidRDefault="001B5504" w:rsidP="00BF212E">
            <w:pPr>
              <w:jc w:val="center"/>
              <w:rPr>
                <w:rFonts w:ascii="Titillium Web" w:hAnsi="Titillium Web"/>
                <w:smallCaps/>
                <w:szCs w:val="24"/>
              </w:rPr>
            </w:pPr>
            <w:r w:rsidRPr="002C44D2">
              <w:rPr>
                <w:rFonts w:ascii="Titillium Web" w:hAnsi="Titillium Web"/>
                <w:smallCaps/>
                <w:szCs w:val="24"/>
              </w:rPr>
              <w:t>Corredo</w:t>
            </w:r>
          </w:p>
        </w:tc>
        <w:tc>
          <w:tcPr>
            <w:tcW w:w="3350" w:type="pct"/>
            <w:vAlign w:val="center"/>
          </w:tcPr>
          <w:p w14:paraId="41D8898B" w14:textId="77777777" w:rsidR="00363521" w:rsidRPr="002C44D2" w:rsidRDefault="00363521" w:rsidP="002C44D2">
            <w:pPr>
              <w:jc w:val="center"/>
              <w:rPr>
                <w:rFonts w:ascii="Titillium Web" w:hAnsi="Titillium Web"/>
                <w:szCs w:val="24"/>
              </w:rPr>
            </w:pPr>
            <w:r w:rsidRPr="002C44D2">
              <w:rPr>
                <w:rFonts w:ascii="Titillium Web" w:hAnsi="Titillium Web"/>
                <w:szCs w:val="24"/>
              </w:rPr>
              <w:t>I resti cremati del defunto erano conservati in un’olla in ceramica depurata di produzione locale (n. 1), coperta da una coppa in ceramica grigia (n. 2), di cui si conserva un solo fr. La sepoltura non ha restituito elementi di corredo.</w:t>
            </w:r>
          </w:p>
          <w:p w14:paraId="0AF0440D" w14:textId="77777777" w:rsidR="001B5504" w:rsidRPr="002C44D2" w:rsidRDefault="00A87B90" w:rsidP="002C44D2">
            <w:pPr>
              <w:jc w:val="center"/>
              <w:rPr>
                <w:rFonts w:ascii="Titillium Web" w:hAnsi="Titillium Web"/>
                <w:szCs w:val="24"/>
              </w:rPr>
            </w:pPr>
            <w:r w:rsidRPr="002C44D2">
              <w:rPr>
                <w:rFonts w:ascii="Titillium Web" w:hAnsi="Titillium Web"/>
                <w:szCs w:val="24"/>
              </w:rPr>
              <w:t xml:space="preserve">1. Olla di produzione locale (IG. </w:t>
            </w:r>
            <w:r w:rsidR="002C44D2" w:rsidRPr="002C44D2">
              <w:rPr>
                <w:rFonts w:ascii="Titillium Web" w:hAnsi="Titillium Web"/>
                <w:szCs w:val="24"/>
              </w:rPr>
              <w:t>45073; ceramica grezza)</w:t>
            </w:r>
          </w:p>
          <w:p w14:paraId="5EE32F9C" w14:textId="25E66855" w:rsidR="002C44D2" w:rsidRPr="002C44D2" w:rsidRDefault="002C44D2" w:rsidP="002C44D2">
            <w:pPr>
              <w:jc w:val="center"/>
              <w:rPr>
                <w:rFonts w:ascii="Titillium Web" w:hAnsi="Titillium Web"/>
                <w:szCs w:val="24"/>
              </w:rPr>
            </w:pPr>
            <w:r w:rsidRPr="002C44D2">
              <w:rPr>
                <w:rFonts w:ascii="Titillium Web" w:hAnsi="Titillium Web"/>
                <w:szCs w:val="24"/>
              </w:rPr>
              <w:t>2. Coppa di produzione locale (senza IG; ceramica depurata)</w:t>
            </w:r>
          </w:p>
        </w:tc>
      </w:tr>
      <w:tr w:rsidR="001B5504" w:rsidRPr="002C44D2" w14:paraId="520D9732" w14:textId="77777777" w:rsidTr="001B5504">
        <w:trPr>
          <w:jc w:val="center"/>
        </w:trPr>
        <w:tc>
          <w:tcPr>
            <w:tcW w:w="1650" w:type="pct"/>
            <w:vAlign w:val="center"/>
          </w:tcPr>
          <w:p w14:paraId="24BE97D5" w14:textId="77777777" w:rsidR="001B5504" w:rsidRPr="002C44D2" w:rsidRDefault="001B5504" w:rsidP="00BF212E">
            <w:pPr>
              <w:jc w:val="center"/>
              <w:rPr>
                <w:rFonts w:ascii="Titillium Web" w:hAnsi="Titillium Web"/>
                <w:smallCaps/>
                <w:szCs w:val="24"/>
              </w:rPr>
            </w:pPr>
            <w:r w:rsidRPr="002C44D2">
              <w:rPr>
                <w:rFonts w:ascii="Titillium Web" w:hAnsi="Titillium Web"/>
                <w:smallCaps/>
                <w:szCs w:val="24"/>
              </w:rPr>
              <w:t>Posizione del corredo</w:t>
            </w:r>
          </w:p>
        </w:tc>
        <w:tc>
          <w:tcPr>
            <w:tcW w:w="3350" w:type="pct"/>
            <w:vAlign w:val="center"/>
          </w:tcPr>
          <w:p w14:paraId="3ED37A74" w14:textId="64FBC4A3" w:rsidR="001B5504" w:rsidRPr="002C44D2" w:rsidRDefault="00A87B90" w:rsidP="00BF212E">
            <w:pPr>
              <w:jc w:val="center"/>
              <w:rPr>
                <w:rFonts w:ascii="Titillium Web" w:hAnsi="Titillium Web"/>
                <w:szCs w:val="24"/>
              </w:rPr>
            </w:pPr>
            <w:r w:rsidRPr="002C44D2">
              <w:rPr>
                <w:rFonts w:ascii="Titillium Web" w:hAnsi="Titillium Web"/>
                <w:szCs w:val="24"/>
              </w:rPr>
              <w:t>Nessun oggetto rinvenuto</w:t>
            </w:r>
          </w:p>
        </w:tc>
      </w:tr>
      <w:tr w:rsidR="001B5504" w:rsidRPr="002C44D2" w14:paraId="05ACB002" w14:textId="77777777" w:rsidTr="001B5504">
        <w:trPr>
          <w:jc w:val="center"/>
        </w:trPr>
        <w:tc>
          <w:tcPr>
            <w:tcW w:w="1650" w:type="pct"/>
            <w:vAlign w:val="center"/>
          </w:tcPr>
          <w:p w14:paraId="6E6E37F2" w14:textId="77777777" w:rsidR="001B5504" w:rsidRPr="002C44D2" w:rsidRDefault="001B5504" w:rsidP="00BF212E">
            <w:pPr>
              <w:jc w:val="center"/>
              <w:rPr>
                <w:rFonts w:ascii="Titillium Web" w:hAnsi="Titillium Web"/>
                <w:smallCaps/>
                <w:szCs w:val="24"/>
              </w:rPr>
            </w:pPr>
            <w:r w:rsidRPr="002C44D2">
              <w:rPr>
                <w:rFonts w:ascii="Titillium Web" w:hAnsi="Titillium Web"/>
                <w:smallCaps/>
                <w:szCs w:val="24"/>
              </w:rPr>
              <w:t>Stato di conservazione e affidabilità del corredo</w:t>
            </w:r>
          </w:p>
        </w:tc>
        <w:tc>
          <w:tcPr>
            <w:tcW w:w="3350" w:type="pct"/>
            <w:vAlign w:val="center"/>
          </w:tcPr>
          <w:p w14:paraId="66E8A271" w14:textId="133D514E" w:rsidR="001B5504" w:rsidRPr="002C44D2" w:rsidRDefault="002C44D2" w:rsidP="00BF212E">
            <w:pPr>
              <w:jc w:val="center"/>
              <w:rPr>
                <w:rFonts w:ascii="Titillium Web" w:hAnsi="Titillium Web"/>
                <w:szCs w:val="24"/>
              </w:rPr>
            </w:pPr>
            <w:r w:rsidRPr="002C44D2">
              <w:rPr>
                <w:rFonts w:ascii="Titillium Web" w:hAnsi="Titillium Web"/>
                <w:szCs w:val="24"/>
              </w:rPr>
              <w:t>/</w:t>
            </w:r>
          </w:p>
        </w:tc>
      </w:tr>
      <w:tr w:rsidR="001B5504" w:rsidRPr="002C44D2" w14:paraId="6E424069" w14:textId="77777777" w:rsidTr="001B5504">
        <w:trPr>
          <w:jc w:val="center"/>
        </w:trPr>
        <w:tc>
          <w:tcPr>
            <w:tcW w:w="1650" w:type="pct"/>
            <w:vAlign w:val="center"/>
          </w:tcPr>
          <w:p w14:paraId="4CE8DFDE" w14:textId="77777777" w:rsidR="001B5504" w:rsidRPr="002C44D2" w:rsidRDefault="001B5504" w:rsidP="00BF212E">
            <w:pPr>
              <w:jc w:val="center"/>
              <w:rPr>
                <w:rFonts w:ascii="Titillium Web" w:hAnsi="Titillium Web"/>
                <w:smallCaps/>
                <w:szCs w:val="24"/>
              </w:rPr>
            </w:pPr>
            <w:r w:rsidRPr="002C44D2">
              <w:rPr>
                <w:rFonts w:ascii="Titillium Web" w:hAnsi="Titillium Web"/>
                <w:smallCaps/>
                <w:szCs w:val="24"/>
              </w:rPr>
              <w:t>Genere (legato all’analisi del corredo)</w:t>
            </w:r>
          </w:p>
        </w:tc>
        <w:tc>
          <w:tcPr>
            <w:tcW w:w="3350" w:type="pct"/>
            <w:vAlign w:val="center"/>
          </w:tcPr>
          <w:p w14:paraId="04E55D8B" w14:textId="15D5D226" w:rsidR="001B5504" w:rsidRPr="002C44D2" w:rsidRDefault="001B5504" w:rsidP="00BF212E">
            <w:pPr>
              <w:jc w:val="center"/>
              <w:rPr>
                <w:rFonts w:ascii="Titillium Web" w:hAnsi="Titillium Web"/>
                <w:szCs w:val="24"/>
              </w:rPr>
            </w:pPr>
            <w:r w:rsidRPr="002C44D2">
              <w:rPr>
                <w:rFonts w:ascii="Titillium Web" w:hAnsi="Titillium Web"/>
                <w:szCs w:val="24"/>
              </w:rPr>
              <w:t>Non determinabile</w:t>
            </w:r>
          </w:p>
        </w:tc>
      </w:tr>
      <w:tr w:rsidR="001B5504" w:rsidRPr="002C44D2" w14:paraId="7C1BF645" w14:textId="77777777" w:rsidTr="001B5504">
        <w:trPr>
          <w:jc w:val="center"/>
        </w:trPr>
        <w:tc>
          <w:tcPr>
            <w:tcW w:w="1650" w:type="pct"/>
            <w:vAlign w:val="center"/>
          </w:tcPr>
          <w:p w14:paraId="7EADEEB5" w14:textId="77777777" w:rsidR="001B5504" w:rsidRPr="002C44D2" w:rsidRDefault="001B5504" w:rsidP="00BF212E">
            <w:pPr>
              <w:jc w:val="center"/>
              <w:rPr>
                <w:rFonts w:ascii="Titillium Web" w:hAnsi="Titillium Web"/>
                <w:smallCaps/>
                <w:szCs w:val="24"/>
              </w:rPr>
            </w:pPr>
            <w:r w:rsidRPr="002C44D2">
              <w:rPr>
                <w:rFonts w:ascii="Titillium Web" w:hAnsi="Titillium Web"/>
                <w:smallCaps/>
                <w:szCs w:val="24"/>
              </w:rPr>
              <w:t>Sesso (legato alle analisi antropologiche)</w:t>
            </w:r>
          </w:p>
        </w:tc>
        <w:tc>
          <w:tcPr>
            <w:tcW w:w="3350" w:type="pct"/>
            <w:vAlign w:val="center"/>
          </w:tcPr>
          <w:p w14:paraId="5D17FB99" w14:textId="46EBB367" w:rsidR="001B5504" w:rsidRPr="002C44D2" w:rsidRDefault="001B5504" w:rsidP="00BF212E">
            <w:pPr>
              <w:jc w:val="center"/>
              <w:rPr>
                <w:rFonts w:ascii="Titillium Web" w:hAnsi="Titillium Web"/>
                <w:szCs w:val="24"/>
              </w:rPr>
            </w:pPr>
            <w:r w:rsidRPr="002C44D2">
              <w:rPr>
                <w:rFonts w:ascii="Titillium Web" w:hAnsi="Titillium Web"/>
                <w:szCs w:val="24"/>
              </w:rPr>
              <w:t>Non determinabile</w:t>
            </w:r>
          </w:p>
        </w:tc>
      </w:tr>
      <w:tr w:rsidR="001B5504" w:rsidRPr="002C44D2" w14:paraId="498C4222" w14:textId="77777777" w:rsidTr="001B5504">
        <w:trPr>
          <w:jc w:val="center"/>
        </w:trPr>
        <w:tc>
          <w:tcPr>
            <w:tcW w:w="1650" w:type="pct"/>
            <w:vAlign w:val="center"/>
          </w:tcPr>
          <w:p w14:paraId="57C39F2A" w14:textId="77777777" w:rsidR="001B5504" w:rsidRPr="002C44D2" w:rsidRDefault="001B5504" w:rsidP="00BF212E">
            <w:pPr>
              <w:jc w:val="center"/>
              <w:rPr>
                <w:rFonts w:ascii="Titillium Web" w:hAnsi="Titillium Web"/>
                <w:smallCaps/>
                <w:szCs w:val="24"/>
              </w:rPr>
            </w:pPr>
            <w:r w:rsidRPr="002C44D2">
              <w:rPr>
                <w:rFonts w:ascii="Titillium Web" w:hAnsi="Titillium Web"/>
                <w:smallCaps/>
                <w:szCs w:val="24"/>
              </w:rPr>
              <w:lastRenderedPageBreak/>
              <w:t>Classi di età</w:t>
            </w:r>
          </w:p>
        </w:tc>
        <w:tc>
          <w:tcPr>
            <w:tcW w:w="3350" w:type="pct"/>
            <w:vAlign w:val="center"/>
          </w:tcPr>
          <w:p w14:paraId="3FA8CB4E" w14:textId="5B4E47B7" w:rsidR="001B5504" w:rsidRPr="002C44D2" w:rsidRDefault="001B5504" w:rsidP="00BF212E">
            <w:pPr>
              <w:jc w:val="center"/>
              <w:rPr>
                <w:rFonts w:ascii="Titillium Web" w:hAnsi="Titillium Web"/>
                <w:szCs w:val="24"/>
              </w:rPr>
            </w:pPr>
            <w:r w:rsidRPr="002C44D2">
              <w:rPr>
                <w:rFonts w:ascii="Titillium Web" w:hAnsi="Titillium Web"/>
                <w:szCs w:val="24"/>
              </w:rPr>
              <w:t>Non determinabile</w:t>
            </w:r>
          </w:p>
        </w:tc>
      </w:tr>
      <w:tr w:rsidR="001B5504" w:rsidRPr="002C44D2" w14:paraId="698056B7" w14:textId="77777777" w:rsidTr="001B5504">
        <w:trPr>
          <w:jc w:val="center"/>
        </w:trPr>
        <w:tc>
          <w:tcPr>
            <w:tcW w:w="1650" w:type="pct"/>
            <w:vAlign w:val="center"/>
          </w:tcPr>
          <w:p w14:paraId="225E12C1" w14:textId="77777777" w:rsidR="001B5504" w:rsidRPr="002C44D2" w:rsidRDefault="001B5504" w:rsidP="00BF212E">
            <w:pPr>
              <w:jc w:val="center"/>
              <w:rPr>
                <w:rFonts w:ascii="Titillium Web" w:hAnsi="Titillium Web"/>
                <w:smallCaps/>
                <w:szCs w:val="24"/>
              </w:rPr>
            </w:pPr>
            <w:r w:rsidRPr="002C44D2">
              <w:rPr>
                <w:rFonts w:ascii="Titillium Web" w:hAnsi="Titillium Web"/>
                <w:smallCaps/>
                <w:szCs w:val="24"/>
              </w:rPr>
              <w:t>Cronologia</w:t>
            </w:r>
          </w:p>
        </w:tc>
        <w:tc>
          <w:tcPr>
            <w:tcW w:w="3350" w:type="pct"/>
            <w:vAlign w:val="center"/>
          </w:tcPr>
          <w:p w14:paraId="440AB2F6" w14:textId="65221464" w:rsidR="001B5504" w:rsidRPr="002C44D2" w:rsidRDefault="001B5504" w:rsidP="00BF212E">
            <w:pPr>
              <w:jc w:val="center"/>
              <w:rPr>
                <w:rFonts w:ascii="Titillium Web" w:hAnsi="Titillium Web"/>
                <w:szCs w:val="24"/>
              </w:rPr>
            </w:pPr>
            <w:r w:rsidRPr="002C44D2">
              <w:rPr>
                <w:rFonts w:ascii="Titillium Web" w:hAnsi="Titillium Web"/>
                <w:szCs w:val="24"/>
              </w:rPr>
              <w:t>Non determinabile</w:t>
            </w:r>
          </w:p>
        </w:tc>
      </w:tr>
      <w:tr w:rsidR="001B5504" w:rsidRPr="002C44D2" w14:paraId="3105DEE4" w14:textId="77777777" w:rsidTr="001B5504">
        <w:trPr>
          <w:jc w:val="center"/>
        </w:trPr>
        <w:tc>
          <w:tcPr>
            <w:tcW w:w="1650" w:type="pct"/>
            <w:vAlign w:val="center"/>
          </w:tcPr>
          <w:p w14:paraId="2DF8B210" w14:textId="77777777" w:rsidR="001B5504" w:rsidRPr="002C44D2" w:rsidRDefault="001B5504" w:rsidP="00BF212E">
            <w:pPr>
              <w:jc w:val="center"/>
              <w:rPr>
                <w:rFonts w:ascii="Titillium Web" w:hAnsi="Titillium Web"/>
                <w:smallCaps/>
                <w:szCs w:val="24"/>
              </w:rPr>
            </w:pPr>
            <w:r w:rsidRPr="002C44D2">
              <w:rPr>
                <w:rFonts w:ascii="Titillium Web" w:hAnsi="Titillium Web"/>
                <w:smallCaps/>
                <w:szCs w:val="24"/>
              </w:rPr>
              <w:t>Bibliografia (della tomba)</w:t>
            </w:r>
          </w:p>
        </w:tc>
        <w:tc>
          <w:tcPr>
            <w:tcW w:w="3350" w:type="pct"/>
            <w:vAlign w:val="center"/>
          </w:tcPr>
          <w:p w14:paraId="38D3D101" w14:textId="67752328" w:rsidR="001B5504" w:rsidRPr="002C44D2" w:rsidRDefault="001B5504" w:rsidP="00BF212E">
            <w:pPr>
              <w:jc w:val="center"/>
              <w:rPr>
                <w:rFonts w:ascii="Titillium Web" w:hAnsi="Titillium Web"/>
                <w:szCs w:val="24"/>
              </w:rPr>
            </w:pPr>
            <w:r w:rsidRPr="002C44D2">
              <w:rPr>
                <w:rFonts w:ascii="Titillium Web" w:hAnsi="Titillium Web"/>
                <w:smallCaps/>
                <w:szCs w:val="24"/>
              </w:rPr>
              <w:t>Baldoni</w:t>
            </w:r>
            <w:r w:rsidRPr="002C44D2">
              <w:rPr>
                <w:rFonts w:ascii="Titillium Web" w:hAnsi="Titillium Web"/>
                <w:szCs w:val="24"/>
              </w:rPr>
              <w:t xml:space="preserve"> 1981, p. 99.</w:t>
            </w:r>
          </w:p>
        </w:tc>
      </w:tr>
      <w:tr w:rsidR="001B5504" w:rsidRPr="002C44D2" w14:paraId="6887A6E3" w14:textId="77777777" w:rsidTr="001B5504">
        <w:trPr>
          <w:jc w:val="center"/>
        </w:trPr>
        <w:tc>
          <w:tcPr>
            <w:tcW w:w="1650" w:type="pct"/>
            <w:vAlign w:val="center"/>
          </w:tcPr>
          <w:p w14:paraId="4944AE43" w14:textId="77777777" w:rsidR="001B5504" w:rsidRPr="002C44D2" w:rsidRDefault="001B5504" w:rsidP="00BF212E">
            <w:pPr>
              <w:jc w:val="center"/>
              <w:rPr>
                <w:rFonts w:ascii="Titillium Web" w:hAnsi="Titillium Web"/>
                <w:smallCaps/>
                <w:szCs w:val="24"/>
              </w:rPr>
            </w:pPr>
            <w:r w:rsidRPr="002C44D2">
              <w:rPr>
                <w:rFonts w:ascii="Titillium Web" w:hAnsi="Titillium Web"/>
                <w:smallCaps/>
                <w:szCs w:val="24"/>
              </w:rPr>
              <w:t>Link alla pubblicazione</w:t>
            </w:r>
          </w:p>
        </w:tc>
        <w:tc>
          <w:tcPr>
            <w:tcW w:w="3350" w:type="pct"/>
            <w:vAlign w:val="center"/>
          </w:tcPr>
          <w:p w14:paraId="6ADE2D95" w14:textId="5EBDA977" w:rsidR="001B5504" w:rsidRPr="002C44D2" w:rsidRDefault="001B5504" w:rsidP="00BF212E">
            <w:pPr>
              <w:jc w:val="center"/>
              <w:rPr>
                <w:rFonts w:ascii="Titillium Web" w:hAnsi="Titillium Web"/>
                <w:szCs w:val="24"/>
              </w:rPr>
            </w:pPr>
          </w:p>
        </w:tc>
      </w:tr>
    </w:tbl>
    <w:p w14:paraId="4DC97993" w14:textId="77777777" w:rsidR="001B5504" w:rsidRPr="00C30F5C" w:rsidRDefault="001B5504" w:rsidP="001B5504">
      <w:pPr>
        <w:jc w:val="center"/>
        <w:rPr>
          <w:rFonts w:ascii="Titillium Web" w:hAnsi="Titillium Web"/>
          <w:b/>
          <w:bCs/>
          <w:sz w:val="28"/>
          <w:szCs w:val="24"/>
        </w:rPr>
      </w:pPr>
    </w:p>
    <w:sectPr w:rsidR="001B5504" w:rsidRPr="00C30F5C"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35997"/>
    <w:multiLevelType w:val="hybridMultilevel"/>
    <w:tmpl w:val="C2DE6EE8"/>
    <w:lvl w:ilvl="0" w:tplc="FD9E36EE">
      <w:start w:val="13"/>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7195BB3"/>
    <w:multiLevelType w:val="hybridMultilevel"/>
    <w:tmpl w:val="6C4E81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43980534">
    <w:abstractNumId w:val="0"/>
  </w:num>
  <w:num w:numId="2" w16cid:durableId="1139692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B2D"/>
    <w:rsid w:val="00014214"/>
    <w:rsid w:val="000D72F4"/>
    <w:rsid w:val="00174701"/>
    <w:rsid w:val="001B5504"/>
    <w:rsid w:val="001F2833"/>
    <w:rsid w:val="0029024B"/>
    <w:rsid w:val="002977D7"/>
    <w:rsid w:val="002C44D2"/>
    <w:rsid w:val="002F1500"/>
    <w:rsid w:val="00363521"/>
    <w:rsid w:val="00472AF4"/>
    <w:rsid w:val="00560743"/>
    <w:rsid w:val="005B5AFF"/>
    <w:rsid w:val="0068458A"/>
    <w:rsid w:val="00710B38"/>
    <w:rsid w:val="007145BC"/>
    <w:rsid w:val="007D54CD"/>
    <w:rsid w:val="00942E70"/>
    <w:rsid w:val="00943EAC"/>
    <w:rsid w:val="00950348"/>
    <w:rsid w:val="00975CA9"/>
    <w:rsid w:val="00997946"/>
    <w:rsid w:val="009E4922"/>
    <w:rsid w:val="00A52A70"/>
    <w:rsid w:val="00A87B90"/>
    <w:rsid w:val="00AB756A"/>
    <w:rsid w:val="00B165C4"/>
    <w:rsid w:val="00B86B2D"/>
    <w:rsid w:val="00BE2CB2"/>
    <w:rsid w:val="00BE63CC"/>
    <w:rsid w:val="00BF212E"/>
    <w:rsid w:val="00C21EE0"/>
    <w:rsid w:val="00C30F5C"/>
    <w:rsid w:val="00CC46E5"/>
    <w:rsid w:val="00D54723"/>
    <w:rsid w:val="00DB1668"/>
    <w:rsid w:val="00E0524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66EA0"/>
  <w15:chartTrackingRefBased/>
  <w15:docId w15:val="{475B289C-F9A1-4717-B3D6-E982B8FC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14214"/>
  </w:style>
  <w:style w:type="paragraph" w:styleId="Titolo1">
    <w:name w:val="heading 1"/>
    <w:basedOn w:val="Normale"/>
    <w:next w:val="Normale"/>
    <w:link w:val="Titolo1Carattere"/>
    <w:uiPriority w:val="9"/>
    <w:qFormat/>
    <w:rsid w:val="00B86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86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86B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86B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86B2D"/>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B86B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B86B2D"/>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B86B2D"/>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B86B2D"/>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86B2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86B2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86B2D"/>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86B2D"/>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B86B2D"/>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B86B2D"/>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B86B2D"/>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B86B2D"/>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B86B2D"/>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B86B2D"/>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86B2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86B2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86B2D"/>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86B2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86B2D"/>
    <w:rPr>
      <w:i/>
      <w:iCs/>
      <w:color w:val="404040" w:themeColor="text1" w:themeTint="BF"/>
    </w:rPr>
  </w:style>
  <w:style w:type="paragraph" w:styleId="Paragrafoelenco">
    <w:name w:val="List Paragraph"/>
    <w:basedOn w:val="Normale"/>
    <w:uiPriority w:val="34"/>
    <w:qFormat/>
    <w:rsid w:val="00B86B2D"/>
    <w:pPr>
      <w:ind w:left="720"/>
      <w:contextualSpacing/>
    </w:pPr>
  </w:style>
  <w:style w:type="character" w:styleId="Enfasiintensa">
    <w:name w:val="Intense Emphasis"/>
    <w:basedOn w:val="Carpredefinitoparagrafo"/>
    <w:uiPriority w:val="21"/>
    <w:qFormat/>
    <w:rsid w:val="00B86B2D"/>
    <w:rPr>
      <w:i/>
      <w:iCs/>
      <w:color w:val="0F4761" w:themeColor="accent1" w:themeShade="BF"/>
    </w:rPr>
  </w:style>
  <w:style w:type="paragraph" w:styleId="Citazioneintensa">
    <w:name w:val="Intense Quote"/>
    <w:basedOn w:val="Normale"/>
    <w:next w:val="Normale"/>
    <w:link w:val="CitazioneintensaCarattere"/>
    <w:uiPriority w:val="30"/>
    <w:qFormat/>
    <w:rsid w:val="00B86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86B2D"/>
    <w:rPr>
      <w:i/>
      <w:iCs/>
      <w:color w:val="0F4761" w:themeColor="accent1" w:themeShade="BF"/>
    </w:rPr>
  </w:style>
  <w:style w:type="character" w:styleId="Riferimentointenso">
    <w:name w:val="Intense Reference"/>
    <w:basedOn w:val="Carpredefinitoparagrafo"/>
    <w:uiPriority w:val="32"/>
    <w:qFormat/>
    <w:rsid w:val="00B86B2D"/>
    <w:rPr>
      <w:b/>
      <w:bCs/>
      <w:smallCaps/>
      <w:color w:val="0F4761" w:themeColor="accent1" w:themeShade="BF"/>
      <w:spacing w:val="5"/>
    </w:rPr>
  </w:style>
  <w:style w:type="table" w:styleId="Grigliatabella">
    <w:name w:val="Table Grid"/>
    <w:basedOn w:val="Tabellanormale"/>
    <w:uiPriority w:val="39"/>
    <w:rsid w:val="0001421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950348"/>
    <w:rPr>
      <w:color w:val="467886" w:themeColor="hyperlink"/>
      <w:u w:val="single"/>
    </w:rPr>
  </w:style>
  <w:style w:type="paragraph" w:styleId="Revisione">
    <w:name w:val="Revision"/>
    <w:hidden/>
    <w:uiPriority w:val="99"/>
    <w:semiHidden/>
    <w:rsid w:val="00710B38"/>
    <w:pPr>
      <w:spacing w:after="0"/>
      <w:jc w:val="left"/>
    </w:pPr>
  </w:style>
  <w:style w:type="character" w:styleId="Rimandocommento">
    <w:name w:val="annotation reference"/>
    <w:basedOn w:val="Carpredefinitoparagrafo"/>
    <w:uiPriority w:val="99"/>
    <w:semiHidden/>
    <w:unhideWhenUsed/>
    <w:rsid w:val="00710B38"/>
    <w:rPr>
      <w:sz w:val="16"/>
      <w:szCs w:val="16"/>
    </w:rPr>
  </w:style>
  <w:style w:type="paragraph" w:styleId="Testocommento">
    <w:name w:val="annotation text"/>
    <w:basedOn w:val="Normale"/>
    <w:link w:val="TestocommentoCarattere"/>
    <w:uiPriority w:val="99"/>
    <w:semiHidden/>
    <w:unhideWhenUsed/>
    <w:rsid w:val="00710B38"/>
    <w:rPr>
      <w:sz w:val="20"/>
      <w:szCs w:val="20"/>
    </w:rPr>
  </w:style>
  <w:style w:type="character" w:customStyle="1" w:styleId="TestocommentoCarattere">
    <w:name w:val="Testo commento Carattere"/>
    <w:basedOn w:val="Carpredefinitoparagrafo"/>
    <w:link w:val="Testocommento"/>
    <w:uiPriority w:val="99"/>
    <w:semiHidden/>
    <w:rsid w:val="00710B38"/>
    <w:rPr>
      <w:sz w:val="20"/>
      <w:szCs w:val="20"/>
    </w:rPr>
  </w:style>
  <w:style w:type="paragraph" w:styleId="Soggettocommento">
    <w:name w:val="annotation subject"/>
    <w:basedOn w:val="Testocommento"/>
    <w:next w:val="Testocommento"/>
    <w:link w:val="SoggettocommentoCarattere"/>
    <w:uiPriority w:val="99"/>
    <w:semiHidden/>
    <w:unhideWhenUsed/>
    <w:rsid w:val="00710B38"/>
    <w:rPr>
      <w:b/>
      <w:bCs/>
    </w:rPr>
  </w:style>
  <w:style w:type="character" w:customStyle="1" w:styleId="SoggettocommentoCarattere">
    <w:name w:val="Soggetto commento Carattere"/>
    <w:basedOn w:val="TestocommentoCarattere"/>
    <w:link w:val="Soggettocommento"/>
    <w:uiPriority w:val="99"/>
    <w:semiHidden/>
    <w:rsid w:val="00710B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224</Words>
  <Characters>1278</Characters>
  <Application>Microsoft Office Word</Application>
  <DocSecurity>0</DocSecurity>
  <Lines>10</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15</cp:revision>
  <dcterms:created xsi:type="dcterms:W3CDTF">2026-04-28T14:33:00Z</dcterms:created>
  <dcterms:modified xsi:type="dcterms:W3CDTF">2026-05-17T16:23:00Z</dcterms:modified>
</cp:coreProperties>
</file>