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7242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7242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7242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7242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B7242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B7242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2,46x1,85</w:t>
            </w:r>
          </w:p>
        </w:tc>
      </w:tr>
      <w:tr w:rsidR="0086297F" w:rsidRPr="00B7242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7242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7242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1E1886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Tomba 1082 a cremazione</w:t>
            </w:r>
          </w:p>
          <w:p w14:paraId="5A9FB115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A m. 169 dal B, a m. 146 a sud del D. B., a m. 1,30 di profondità posava una tomba a cremazione racchiusa in sottili tavole di legno.</w:t>
            </w:r>
          </w:p>
          <w:p w14:paraId="3B595BC1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Le tavole sono completamente marcite.</w:t>
            </w:r>
          </w:p>
          <w:p w14:paraId="6E21CEE1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È conservato solo in parte il travetto lungo di ponente.</w:t>
            </w:r>
          </w:p>
          <w:p w14:paraId="220A90CA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I travi lunghi della cassa sono orientati da nord-ovest a susd-est: gradi 320.</w:t>
            </w:r>
          </w:p>
          <w:p w14:paraId="0A616363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Presso l’angolo nord-est della tomba un mucchio di ossa combuste, a lev. delle quali è piantata ritta</w:t>
            </w:r>
          </w:p>
          <w:p w14:paraId="552E83D0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1 grande anfora pontuta, vinaria, grezza.</w:t>
            </w:r>
          </w:p>
          <w:p w14:paraId="74839AE6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Nell’angolo nord-ovest</w:t>
            </w:r>
          </w:p>
          <w:p w14:paraId="77DA6FAC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1 cratere a campana, di fabbrica apula con decorazioni di testoni e palmette, a tinta bruno-nerastra. È frammentato nella parte superiore.</w:t>
            </w:r>
          </w:p>
          <w:p w14:paraId="11FB1F16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Sparsi per tutta la tomba si raccolsero le seguenti suppellettili:</w:t>
            </w:r>
          </w:p>
          <w:p w14:paraId="69E43D5F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2 oinochoai a forma di fiasca, con bocca trilobata a vern. n. scadente; interi</w:t>
            </w:r>
          </w:p>
          <w:p w14:paraId="7413500F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1 lekane: tazza e coperchio in frammenti. Il coperchio è decorato a zone di palmette stilizzate a colpi di pennello e righe e triangoli: la tazza pure è decorata a linee e triangoli.</w:t>
            </w:r>
          </w:p>
          <w:p w14:paraId="23F33488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242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7242E">
              <w:rPr>
                <w:rFonts w:ascii="Titillium Web" w:hAnsi="Titillium Web"/>
                <w:i/>
                <w:iCs/>
                <w:szCs w:val="24"/>
              </w:rPr>
              <w:t xml:space="preserve"> gradi kotylai a forma emisferica, a vern. nera scadente: entrambi frammentari</w:t>
            </w:r>
          </w:p>
          <w:p w14:paraId="4432FA3B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1 ascox (boccalino) otriforme, di argilla giallo chiara, grezzo: ha l’ansa staccata, ed è intero.</w:t>
            </w:r>
          </w:p>
          <w:p w14:paraId="72B68571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lastRenderedPageBreak/>
              <w:t>1 vaso a forma cipolloide, con bocca circolare e due anse abbinate; è decorato sulla spalla con palmette e spirali stilizzate a colpi di pennello a vern. n. scadente - intero.</w:t>
            </w:r>
          </w:p>
          <w:p w14:paraId="5F2A4259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1 lucernina a forma di ciambella, a vern. nera scadente; intera</w:t>
            </w:r>
          </w:p>
          <w:p w14:paraId="73404BBC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1 vaso a forma kantaroide, con alto piede e anse verticali a doppia fune annodata.</w:t>
            </w:r>
          </w:p>
          <w:p w14:paraId="04A671B9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È a vern. nera scadente, leggermente slabbrato.</w:t>
            </w:r>
          </w:p>
          <w:p w14:paraId="00657498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1 colatoio fittile con bacinella centrale bucherellata; è intero. A vern. nera scadente.</w:t>
            </w:r>
          </w:p>
          <w:p w14:paraId="4F36890A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1 altro vasetto a forma kantaroide con anse a doppia fune annodata, a ver. n. scadente. È in fram.ti.</w:t>
            </w:r>
          </w:p>
          <w:p w14:paraId="7A3429B6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242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7242E">
              <w:rPr>
                <w:rFonts w:ascii="Titillium Web" w:hAnsi="Titillium Web"/>
                <w:i/>
                <w:iCs/>
                <w:szCs w:val="24"/>
              </w:rPr>
              <w:t xml:space="preserve"> grandi piatti per pesce, con pieduccio, a vern. n. scadente, due interi e uno leggermente slabbrato.</w:t>
            </w:r>
          </w:p>
          <w:p w14:paraId="3E31149E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242E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B7242E">
              <w:rPr>
                <w:rFonts w:ascii="Titillium Web" w:hAnsi="Titillium Web"/>
                <w:i/>
                <w:iCs/>
                <w:szCs w:val="24"/>
              </w:rPr>
              <w:t xml:space="preserve"> piccolissimi vasetti, sferoidali, con ansa a doppia fune: sono a vern. nera scadente.</w:t>
            </w:r>
          </w:p>
          <w:p w14:paraId="7BF0C1A5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242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7242E">
              <w:rPr>
                <w:rFonts w:ascii="Titillium Web" w:hAnsi="Titillium Web"/>
                <w:i/>
                <w:iCs/>
                <w:szCs w:val="24"/>
              </w:rPr>
              <w:t xml:space="preserve"> grandi scodelle apode a vern. n. scadente, liscie, due intere e una leggermente frammentaria.</w:t>
            </w:r>
          </w:p>
          <w:p w14:paraId="5E41C562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242E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B7242E">
              <w:rPr>
                <w:rFonts w:ascii="Titillium Web" w:hAnsi="Titillium Web"/>
                <w:i/>
                <w:iCs/>
                <w:szCs w:val="24"/>
              </w:rPr>
              <w:t xml:space="preserve"> tazze più piccole, apode, a vern. nera scadente, liscie: cinque intere e una frammentaria.</w:t>
            </w:r>
          </w:p>
          <w:p w14:paraId="1C3E36EA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7242E">
              <w:rPr>
                <w:rFonts w:ascii="Titillium Web" w:hAnsi="Titillium Web"/>
                <w:i/>
                <w:iCs/>
                <w:szCs w:val="24"/>
              </w:rPr>
              <w:t>10</w:t>
            </w:r>
            <w:proofErr w:type="gramEnd"/>
            <w:r w:rsidRPr="00B7242E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nera scadente lisci (tre frammentari)</w:t>
            </w:r>
          </w:p>
          <w:p w14:paraId="19CD8195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Nella lekane e nelle scodelle erano gusci d’uova e ossicine di pollo...</w:t>
            </w:r>
          </w:p>
          <w:p w14:paraId="7BF0EB0C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Presso il lato corto della cassa (a sud)</w:t>
            </w:r>
          </w:p>
          <w:p w14:paraId="647614DB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2 piccole figurine a mezzo rilievo, in piombo, rassomiglianti ad altro tipo rinvenuto nella tomba 369. Quella era l’apice a impugnatura dell’asta di un colatoio di piombo. Queste (della T. 1082) sono limitate alla sola figura e non si può giudicare se appartenessero anch’esse a due colatoi (come nella 369). Certo che nella tomba 1082 furono rinvenute così come si trovano ora.</w:t>
            </w:r>
          </w:p>
          <w:p w14:paraId="210B0C2C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Si raccolsero altri frammenti a vern. n. di scodelle o vasetti in frammenti.</w:t>
            </w:r>
          </w:p>
          <w:p w14:paraId="3FDEBC11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Dalla fotografia, credo, si avrà la stessa impressione che si è avuta a scavo aperto.</w:t>
            </w:r>
          </w:p>
          <w:p w14:paraId="5EE1A7F9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La massa del vasellame doveva essere accatastata presso la parete destra della cassa di legno. Forse con della sabbia gli si sarà fatto una specie di supporto o gradino.</w:t>
            </w:r>
          </w:p>
          <w:p w14:paraId="11F5E675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lastRenderedPageBreak/>
              <w:t>Col tempo e il deperimento della cassa, lo spostamento del vasellame sarà avvenuto presso il centro della tomba.</w:t>
            </w:r>
          </w:p>
          <w:p w14:paraId="2196D8AB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Poiché si ha l’impressione (e non solo da questa tomba, ma da quasi tutte in genere) che il materiale sia scivolato o rovesciato.</w:t>
            </w:r>
          </w:p>
          <w:p w14:paraId="3302DA82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I lati lunghi della cassa misuravano m. 2,46 e i corti m. 1,85.</w:t>
            </w:r>
          </w:p>
          <w:p w14:paraId="0F858485" w14:textId="77777777" w:rsidR="004C1D62" w:rsidRPr="00B7242E" w:rsidRDefault="000634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242E">
              <w:rPr>
                <w:rFonts w:ascii="Titillium Web" w:hAnsi="Titillium Web"/>
                <w:i/>
                <w:iCs/>
                <w:szCs w:val="24"/>
              </w:rPr>
              <w:t>Non si poté appurare se vi fosse stato il coperchio della cassa -</w:t>
            </w:r>
          </w:p>
        </w:tc>
      </w:tr>
      <w:tr w:rsidR="0086297F" w:rsidRPr="00B7242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B7242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7242E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B7242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7242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72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7242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72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242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039AD3F" w14:textId="71055454" w:rsidR="004C1D62" w:rsidRPr="00B7242E" w:rsidRDefault="00063463" w:rsidP="00B7242E">
            <w:pPr>
              <w:jc w:val="center"/>
              <w:rPr>
                <w:rFonts w:ascii="Titillium Web" w:hAnsi="Titillium Web"/>
                <w:szCs w:val="24"/>
              </w:rPr>
            </w:pPr>
            <w:r w:rsidRPr="00B7242E">
              <w:rPr>
                <w:rFonts w:ascii="Titillium Web" w:eastAsia="Titillium" w:hAnsi="Titillium Web" w:cs="Titillium"/>
                <w:smallCaps/>
                <w:szCs w:val="24"/>
              </w:rPr>
              <w:t>Berti, Bisi, Camerin</w:t>
            </w:r>
            <w:r w:rsidRPr="00B7242E">
              <w:rPr>
                <w:rFonts w:ascii="Titillium Web" w:eastAsia="Titillium" w:hAnsi="Titillium Web" w:cs="Titillium"/>
                <w:szCs w:val="24"/>
              </w:rPr>
              <w:t xml:space="preserve"> 1993, p. 27; </w:t>
            </w:r>
            <w:r w:rsidRPr="00B7242E">
              <w:rPr>
                <w:rFonts w:ascii="Titillium Web" w:eastAsia="Titillium" w:hAnsi="Titillium Web" w:cs="Titillium"/>
                <w:smallCaps/>
                <w:szCs w:val="24"/>
              </w:rPr>
              <w:t>Guarnieri</w:t>
            </w:r>
            <w:r w:rsidRPr="00B7242E">
              <w:rPr>
                <w:rFonts w:ascii="Titillium Web" w:eastAsia="Titillium" w:hAnsi="Titillium Web" w:cs="Titillium"/>
                <w:szCs w:val="24"/>
              </w:rPr>
              <w:t xml:space="preserve"> 1993, p. 184, nota 11; </w:t>
            </w:r>
            <w:r w:rsidRPr="00B7242E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B7242E">
              <w:rPr>
                <w:rFonts w:ascii="Titillium Web" w:eastAsia="Titillium" w:hAnsi="Titillium Web" w:cs="Titillium"/>
                <w:szCs w:val="24"/>
              </w:rPr>
              <w:t xml:space="preserve"> 1993, pp. 44-45, fig. 39; </w:t>
            </w:r>
            <w:r w:rsidRPr="00B7242E">
              <w:rPr>
                <w:rFonts w:ascii="Titillium Web" w:eastAsia="Titillium" w:hAnsi="Titillium Web" w:cs="Titillium"/>
                <w:smallCaps/>
                <w:szCs w:val="24"/>
              </w:rPr>
              <w:t>Desantis</w:t>
            </w:r>
            <w:r w:rsidRPr="00B7242E">
              <w:rPr>
                <w:rFonts w:ascii="Titillium Web" w:eastAsia="Titillium" w:hAnsi="Titillium Web" w:cs="Titillium"/>
                <w:szCs w:val="24"/>
              </w:rPr>
              <w:t xml:space="preserve"> 1993c, pp. 317-320; </w:t>
            </w:r>
            <w:r w:rsidRPr="00B7242E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B7242E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B7242E">
              <w:rPr>
                <w:rFonts w:ascii="Titillium Web" w:eastAsia="Titillium" w:hAnsi="Titillium Web" w:cs="Titillium"/>
                <w:i/>
                <w:iCs/>
                <w:szCs w:val="24"/>
              </w:rPr>
              <w:t>Classico Anticlassico</w:t>
            </w:r>
            <w:r w:rsidR="00B7242E">
              <w:rPr>
                <w:rFonts w:ascii="Titillium Web" w:eastAsia="Titillium" w:hAnsi="Titillium Web" w:cs="Titillium"/>
                <w:i/>
                <w:iCs/>
                <w:szCs w:val="24"/>
              </w:rPr>
              <w:t xml:space="preserve"> </w:t>
            </w:r>
            <w:r w:rsidR="00B7242E">
              <w:rPr>
                <w:rFonts w:ascii="Titillium Web" w:eastAsia="Titillium" w:hAnsi="Titillium Web" w:cs="Titillium"/>
                <w:szCs w:val="24"/>
              </w:rPr>
              <w:t>1996</w:t>
            </w:r>
            <w:r w:rsidRPr="00B7242E">
              <w:rPr>
                <w:rFonts w:ascii="Titillium Web" w:eastAsia="Titillium" w:hAnsi="Titillium Web" w:cs="Titillium"/>
                <w:szCs w:val="24"/>
              </w:rPr>
              <w:t xml:space="preserve">, p. 154; </w:t>
            </w:r>
            <w:r w:rsidRPr="00B7242E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B7242E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4167"/>
    <w:rsid w:val="002977D7"/>
    <w:rsid w:val="004338D7"/>
    <w:rsid w:val="00472AF4"/>
    <w:rsid w:val="004C1D62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7242E"/>
    <w:rsid w:val="00C21EE0"/>
    <w:rsid w:val="00D900AB"/>
    <w:rsid w:val="00D936E8"/>
    <w:rsid w:val="00E24633"/>
    <w:rsid w:val="00F8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2026-05-18T14:47:00Z</dcterms:modified>
</cp:coreProperties>
</file>