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1083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C27F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C27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27F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C27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27FF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7C27F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C27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27F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C27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27F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C27F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C27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27F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C27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27F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C27F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C27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27F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C27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27FF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7C27F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C27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27F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C27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27FF">
              <w:rPr>
                <w:rFonts w:ascii="Titillium Web" w:hAnsi="Titillium Web"/>
                <w:szCs w:val="24"/>
              </w:rPr>
              <w:t>1,4 m</w:t>
            </w:r>
          </w:p>
        </w:tc>
      </w:tr>
      <w:tr w:rsidR="0086297F" w:rsidRPr="007C27F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C27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27F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C27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27FF">
              <w:rPr>
                <w:rFonts w:ascii="Titillium Web" w:hAnsi="Titillium Web"/>
                <w:szCs w:val="24"/>
              </w:rPr>
              <w:t>2,38x1,5</w:t>
            </w:r>
          </w:p>
        </w:tc>
      </w:tr>
      <w:tr w:rsidR="0086297F" w:rsidRPr="007C27F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C27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27F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C27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27FF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7C27F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C27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27F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C27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27F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C27F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C27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27F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6740C46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27FF">
              <w:rPr>
                <w:rFonts w:ascii="Titillium Web" w:hAnsi="Titillium Web"/>
                <w:i/>
                <w:iCs/>
                <w:szCs w:val="24"/>
              </w:rPr>
              <w:t>Tomba 1083 a umazione</w:t>
            </w:r>
          </w:p>
          <w:p w14:paraId="7D0784A9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27FF">
              <w:rPr>
                <w:rFonts w:ascii="Titillium Web" w:hAnsi="Titillium Web"/>
                <w:i/>
                <w:iCs/>
                <w:szCs w:val="24"/>
              </w:rPr>
              <w:t>(con cassa di legno)</w:t>
            </w:r>
          </w:p>
          <w:p w14:paraId="2479402E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27FF">
              <w:rPr>
                <w:rFonts w:ascii="Titillium Web" w:hAnsi="Titillium Web"/>
                <w:i/>
                <w:iCs/>
                <w:szCs w:val="24"/>
              </w:rPr>
              <w:t xml:space="preserve">A m. 166 dal B, a m. 147 a sud del D. B., a m. 1,40 di prof.tà poggiava una tomba con cassa di legno e con materiale eguale all’incirca a quello della precedente. Lo scheletro è orientato da NO a </w:t>
            </w:r>
            <w:proofErr w:type="gramStart"/>
            <w:r w:rsidRPr="007C27FF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7C27FF">
              <w:rPr>
                <w:rFonts w:ascii="Titillium Web" w:hAnsi="Titillium Web"/>
                <w:i/>
                <w:iCs/>
                <w:szCs w:val="24"/>
              </w:rPr>
              <w:t>: gradi 340.</w:t>
            </w:r>
          </w:p>
          <w:p w14:paraId="5A9FF70E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27FF">
              <w:rPr>
                <w:rFonts w:ascii="Titillium Web" w:hAnsi="Titillium Web"/>
                <w:i/>
                <w:iCs/>
                <w:szCs w:val="24"/>
              </w:rPr>
              <w:t>Un leggero strato di calce si rinviene soltanto sotto lo scheletro.</w:t>
            </w:r>
          </w:p>
          <w:p w14:paraId="45D5C5D4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27FF">
              <w:rPr>
                <w:rFonts w:ascii="Titillium Web" w:hAnsi="Titillium Web"/>
                <w:i/>
                <w:iCs/>
                <w:szCs w:val="24"/>
              </w:rPr>
              <w:t>Lo scheletro è deposto presso la parete di levante della cassa. anche in questa tomba si ha l’impressione che i fittili che erano ammucchiati presso il fianco destro dello scheletro siano scivolati o ribaltati in parte sullo scheletro stesso.</w:t>
            </w:r>
          </w:p>
          <w:p w14:paraId="35132584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27FF">
              <w:rPr>
                <w:rFonts w:ascii="Titillium Web" w:hAnsi="Titillium Web"/>
                <w:i/>
                <w:iCs/>
                <w:szCs w:val="24"/>
              </w:rPr>
              <w:t>Presso la parete nord della tomba sono piantate</w:t>
            </w:r>
          </w:p>
          <w:p w14:paraId="3A930814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C27FF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C27FF">
              <w:rPr>
                <w:rFonts w:ascii="Titillium Web" w:hAnsi="Titillium Web"/>
                <w:i/>
                <w:iCs/>
                <w:szCs w:val="24"/>
              </w:rPr>
              <w:t xml:space="preserve"> grandi anfore vinarie, pontute, grezze e intere.</w:t>
            </w:r>
          </w:p>
          <w:p w14:paraId="35A9B9EA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27FF">
              <w:rPr>
                <w:rFonts w:ascii="Titillium Web" w:hAnsi="Titillium Web"/>
                <w:i/>
                <w:iCs/>
                <w:szCs w:val="24"/>
              </w:rPr>
              <w:t>Presso il fianco sin. dello scheletro si rinvennero</w:t>
            </w:r>
          </w:p>
          <w:p w14:paraId="4B4E06E5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27FF">
              <w:rPr>
                <w:rFonts w:ascii="Titillium Web" w:hAnsi="Titillium Web"/>
                <w:i/>
                <w:iCs/>
                <w:szCs w:val="24"/>
              </w:rPr>
              <w:t>- frammenti informi di ferro, che potevano essere di un candelabro?</w:t>
            </w:r>
          </w:p>
          <w:p w14:paraId="0B6B6493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27FF">
              <w:rPr>
                <w:rFonts w:ascii="Titillium Web" w:hAnsi="Titillium Web"/>
                <w:i/>
                <w:iCs/>
                <w:szCs w:val="24"/>
              </w:rPr>
              <w:t>Presso il fianco destro dello scheletro e presso i piedi (e presso il lato sin. dei piedi, si raccolsero:</w:t>
            </w:r>
          </w:p>
          <w:p w14:paraId="31FE05AA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27FF">
              <w:rPr>
                <w:rFonts w:ascii="Titillium Web" w:hAnsi="Titillium Web"/>
                <w:i/>
                <w:iCs/>
                <w:szCs w:val="24"/>
              </w:rPr>
              <w:t>1 kratere a tutta vern. nera, scadente, è in frammenti, ma ricomponibile per intero. Le anse non sono forate, ma sono piene e rappresentano la parte superiore di un mascherone o di un leone? Sulla vern. nera sono leggiere traccie di una pittura a color bianco? di ovuli e foglie di edera, e altri motivi ornamentali.</w:t>
            </w:r>
          </w:p>
          <w:p w14:paraId="792C0F50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27FF">
              <w:rPr>
                <w:rFonts w:ascii="Titillium Web" w:hAnsi="Titillium Web"/>
                <w:i/>
                <w:iCs/>
                <w:szCs w:val="24"/>
              </w:rPr>
              <w:lastRenderedPageBreak/>
              <w:t>2 oinochoai a forma di fiasco, con bocca trilobata, a vern. nera scadente, interi. Entrambi erano sul collo graffiti di linee.</w:t>
            </w:r>
          </w:p>
          <w:p w14:paraId="2A5477FC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27FF">
              <w:rPr>
                <w:rFonts w:ascii="Titillium Web" w:hAnsi="Titillium Web"/>
                <w:i/>
                <w:iCs/>
                <w:szCs w:val="24"/>
              </w:rPr>
              <w:t>3 kotylai a forma emisferica, a ver. n. scadente, entrambi in frammenti.</w:t>
            </w:r>
          </w:p>
          <w:p w14:paraId="058BC535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27FF">
              <w:rPr>
                <w:rFonts w:ascii="Titillium Web" w:hAnsi="Titillium Web"/>
                <w:i/>
                <w:iCs/>
                <w:szCs w:val="24"/>
              </w:rPr>
              <w:t>1 vaso cipolliforme, con bocca circolare e due anse abbinate, a ver. tutta nera scadente, intero</w:t>
            </w:r>
          </w:p>
          <w:p w14:paraId="5E1940BE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27FF">
              <w:rPr>
                <w:rFonts w:ascii="Titillium Web" w:hAnsi="Titillium Web"/>
                <w:i/>
                <w:iCs/>
                <w:szCs w:val="24"/>
              </w:rPr>
              <w:t>1 vasetto a forma di kantaros, con ansa a doppia fune annodata; è a vern. n. scadente, intero</w:t>
            </w:r>
          </w:p>
          <w:p w14:paraId="09D5A599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27FF">
              <w:rPr>
                <w:rFonts w:ascii="Titillium Web" w:hAnsi="Titillium Web"/>
                <w:i/>
                <w:iCs/>
                <w:szCs w:val="24"/>
              </w:rPr>
              <w:t>1 lekane, tazza e coperchio in frammenti: il coperchio reca dipinti testoni, divisi in riquadri.</w:t>
            </w:r>
          </w:p>
          <w:p w14:paraId="643E99A0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27FF">
              <w:rPr>
                <w:rFonts w:ascii="Titillium Web" w:hAnsi="Titillium Web"/>
                <w:i/>
                <w:iCs/>
                <w:szCs w:val="24"/>
              </w:rPr>
              <w:t>1 colatoio fittile con bacinella centrale bucherellata a vern. n. scadente, è in frammenti e decorato all’interno con impressioni di palmette.</w:t>
            </w:r>
          </w:p>
          <w:p w14:paraId="50986E0F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27FF">
              <w:rPr>
                <w:rFonts w:ascii="Titillium Web" w:hAnsi="Titillium Web"/>
                <w:i/>
                <w:iCs/>
                <w:szCs w:val="24"/>
              </w:rPr>
              <w:t>2 kylikes, con pieduccio, a tutta vern. n. scadente, decorate all’intorno con palmette impresse: sono in frammenti.</w:t>
            </w:r>
          </w:p>
          <w:p w14:paraId="02C3149D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C27FF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7C27FF">
              <w:rPr>
                <w:rFonts w:ascii="Titillium Web" w:hAnsi="Titillium Web"/>
                <w:i/>
                <w:iCs/>
                <w:szCs w:val="24"/>
              </w:rPr>
              <w:t xml:space="preserve"> piccoli vasettini a bicchiere (modioli?) di diverse grandezze, con ansa verticale a spirale: a vern. nera scadente, interi, due dei quali hanno l’ansa staccata.</w:t>
            </w:r>
          </w:p>
          <w:p w14:paraId="10FA7260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C27FF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7C27FF">
              <w:rPr>
                <w:rFonts w:ascii="Titillium Web" w:hAnsi="Titillium Web"/>
                <w:i/>
                <w:iCs/>
                <w:szCs w:val="24"/>
              </w:rPr>
              <w:t xml:space="preserve"> grandi piatti per pesce, a vern. nera scadente, con piede basso, interi</w:t>
            </w:r>
          </w:p>
          <w:p w14:paraId="73028E36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C27FF">
              <w:rPr>
                <w:rFonts w:ascii="Titillium Web" w:hAnsi="Titillium Web"/>
                <w:i/>
                <w:iCs/>
                <w:szCs w:val="24"/>
              </w:rPr>
              <w:t>7</w:t>
            </w:r>
            <w:proofErr w:type="gramEnd"/>
            <w:r w:rsidRPr="007C27FF">
              <w:rPr>
                <w:rFonts w:ascii="Titillium Web" w:hAnsi="Titillium Web"/>
                <w:i/>
                <w:iCs/>
                <w:szCs w:val="24"/>
              </w:rPr>
              <w:t xml:space="preserve"> tazze apode, a vern. n. scadente, con impressioni di palmette (4 intere)</w:t>
            </w:r>
          </w:p>
          <w:p w14:paraId="4416AD72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27FF">
              <w:rPr>
                <w:rFonts w:ascii="Titillium Web" w:hAnsi="Titillium Web"/>
                <w:i/>
                <w:iCs/>
                <w:szCs w:val="24"/>
              </w:rPr>
              <w:t>Nelle tazze si rinvennero gusci di uova e ossicine di pollo.</w:t>
            </w:r>
          </w:p>
          <w:p w14:paraId="3508C3C2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C27FF">
              <w:rPr>
                <w:rFonts w:ascii="Titillium Web" w:hAnsi="Titillium Web"/>
                <w:i/>
                <w:iCs/>
                <w:szCs w:val="24"/>
              </w:rPr>
              <w:t>11</w:t>
            </w:r>
            <w:proofErr w:type="gramEnd"/>
            <w:r w:rsidRPr="007C27FF">
              <w:rPr>
                <w:rFonts w:ascii="Titillium Web" w:hAnsi="Titillium Web"/>
                <w:i/>
                <w:iCs/>
                <w:szCs w:val="24"/>
              </w:rPr>
              <w:t xml:space="preserve"> piattelli con pieduccio, a vern. n. scadente.</w:t>
            </w:r>
          </w:p>
          <w:p w14:paraId="2C4ABF0C" w14:textId="77777777" w:rsidR="009509D0" w:rsidRPr="007C27FF" w:rsidRDefault="00F949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27FF">
              <w:rPr>
                <w:rFonts w:ascii="Titillium Web" w:hAnsi="Titillium Web"/>
                <w:i/>
                <w:iCs/>
                <w:szCs w:val="24"/>
              </w:rPr>
              <w:t>Non si rinvennero tracce del coperchio della cassa.</w:t>
            </w:r>
          </w:p>
        </w:tc>
      </w:tr>
      <w:tr w:rsidR="0086297F" w:rsidRPr="007C27F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C27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27F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C27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27FF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7C27F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C27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27F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C27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27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C27F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C27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27F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C27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27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C27F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C27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27F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C27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C27FF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7C27F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C27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27F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A8FF378" w14:textId="77777777" w:rsidR="009509D0" w:rsidRPr="007C27FF" w:rsidRDefault="00F94958" w:rsidP="007C27FF">
            <w:pPr>
              <w:jc w:val="center"/>
              <w:rPr>
                <w:rFonts w:ascii="Titillium Web" w:hAnsi="Titillium Web"/>
                <w:szCs w:val="24"/>
              </w:rPr>
            </w:pPr>
            <w:r w:rsidRPr="007C27FF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7C27FF">
              <w:rPr>
                <w:rFonts w:ascii="Titillium Web" w:eastAsia="Titillium" w:hAnsi="Titillium Web" w:cs="Titillium"/>
                <w:szCs w:val="24"/>
              </w:rPr>
              <w:t xml:space="preserve"> 1993, p. 45; </w:t>
            </w:r>
            <w:r w:rsidRPr="007C27FF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7C27FF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E3D41"/>
    <w:rsid w:val="00472AF4"/>
    <w:rsid w:val="00551AF8"/>
    <w:rsid w:val="005B5AFF"/>
    <w:rsid w:val="006162A4"/>
    <w:rsid w:val="006346F7"/>
    <w:rsid w:val="006D6EFB"/>
    <w:rsid w:val="007145BC"/>
    <w:rsid w:val="007C27FF"/>
    <w:rsid w:val="0086297F"/>
    <w:rsid w:val="009509D0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2026-05-14T09:20:00Z</dcterms:modified>
</cp:coreProperties>
</file>