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5252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1929</w:t>
            </w:r>
          </w:p>
        </w:tc>
      </w:tr>
      <w:tr w:rsidR="0086297F" w:rsidRPr="0005252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5252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5252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5252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1,55 m</w:t>
            </w:r>
          </w:p>
        </w:tc>
      </w:tr>
      <w:tr w:rsidR="0086297F" w:rsidRPr="0005252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5252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5252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05252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6E1916D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Tomba 1096 a umazione -</w:t>
            </w:r>
          </w:p>
          <w:p w14:paraId="7694EBA5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Lo scheletro è orientato da nord-ovest (gradi 320) a sud-est.; è un po’ inclinato sul fianco destro. Misura in lunghezza m. 1,54.</w:t>
            </w:r>
          </w:p>
          <w:p w14:paraId="4A210C1B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Ha un grosso ciottolo fluviale presso la testa, a des.</w:t>
            </w:r>
          </w:p>
          <w:p w14:paraId="70DA48B0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La suppellettile è tutta disposta a sinistra dello scheletro (caso rarissimo poiché costantemente si è sempre rinvenuta presso il lato destro).</w:t>
            </w:r>
          </w:p>
          <w:p w14:paraId="012382D3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Scheletro e suppellettili poggiano sopra un sottile tavolato di legno, del quale al momento dello scavo se ne riconobbero facilmente i residui.</w:t>
            </w:r>
          </w:p>
          <w:p w14:paraId="4A5E87EF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Presso il collo dello scheletro si rinvennero diversi oggettini che dovevano appartenere ad</w:t>
            </w:r>
          </w:p>
          <w:p w14:paraId="2791A6E8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una collanina -</w:t>
            </w:r>
          </w:p>
          <w:p w14:paraId="19BCD160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ciottolo, bianco, forato.</w:t>
            </w:r>
          </w:p>
          <w:p w14:paraId="7BB90119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piccola ambra a forma di bulla, con appicagnolo</w:t>
            </w:r>
          </w:p>
          <w:p w14:paraId="036C2940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ciprea forata.</w:t>
            </w:r>
          </w:p>
          <w:p w14:paraId="677737D1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grano di vetro giallo.</w:t>
            </w:r>
          </w:p>
          <w:p w14:paraId="63A53646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fusarola piccola, di pasta vitrea</w:t>
            </w:r>
          </w:p>
          <w:p w14:paraId="5420041B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Nella des. lo scheletro aveva:</w:t>
            </w:r>
          </w:p>
          <w:p w14:paraId="6B4A5021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frammentino informe di bronzo</w:t>
            </w:r>
          </w:p>
          <w:p w14:paraId="1CF0F767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In un dito della mano sinis. si rinvenne:</w:t>
            </w:r>
          </w:p>
          <w:p w14:paraId="634FF62B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oggetto che sembra un anello a più giri, di bronzo</w:t>
            </w:r>
          </w:p>
          <w:p w14:paraId="0DA3C1F7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Nella sinistra teneva:</w:t>
            </w:r>
          </w:p>
          <w:p w14:paraId="5E54DB3F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 xml:space="preserve">1 specie di </w:t>
            </w:r>
            <w:proofErr w:type="gramStart"/>
            <w:r w:rsidRPr="00052523">
              <w:rPr>
                <w:rFonts w:ascii="Titillium Web" w:hAnsi="Titillium Web"/>
                <w:i/>
                <w:iCs/>
                <w:szCs w:val="24"/>
              </w:rPr>
              <w:t>bastone ?</w:t>
            </w:r>
            <w:proofErr w:type="gramEnd"/>
            <w:r w:rsidRPr="00052523">
              <w:rPr>
                <w:rFonts w:ascii="Titillium Web" w:hAnsi="Titillium Web"/>
                <w:i/>
                <w:iCs/>
                <w:szCs w:val="24"/>
              </w:rPr>
              <w:t xml:space="preserve"> fatto di due tubi di osso, vuoti, e di un’altro pezzo piccolo, alle di cui estremità erano i due coperchietti.</w:t>
            </w:r>
          </w:p>
          <w:p w14:paraId="786BFAC4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lastRenderedPageBreak/>
              <w:t>Sul petto dello scheletro si raccolsero</w:t>
            </w:r>
          </w:p>
          <w:p w14:paraId="61802D35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due o tre frammentini informi di fibula (?) di bronzo (?)</w:t>
            </w:r>
          </w:p>
          <w:p w14:paraId="0D533BC6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Sul lato sin. dello scheletro si raccolsero i seguenti fittili:</w:t>
            </w:r>
          </w:p>
          <w:p w14:paraId="4D28D586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oinochoe di media grandezza, con bocca trilobata, con figure grafite e a vern. nera. Il disegno rappresenta due figure ammantate con rami di fiori: è di disegni trasandato</w:t>
            </w:r>
          </w:p>
          <w:p w14:paraId="3294512B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e di vernice cattiva.</w:t>
            </w:r>
          </w:p>
          <w:p w14:paraId="7EFAB024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È frammentario nei lobi della bocca</w:t>
            </w:r>
          </w:p>
          <w:p w14:paraId="724446E4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altro oinochoe simile, a vern. n. e a figure nere, di vernice diluita</w:t>
            </w:r>
          </w:p>
          <w:p w14:paraId="406095BC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Tre figure di guerrieri: disegno trasandato e vern. nera cattiva.</w:t>
            </w:r>
          </w:p>
          <w:p w14:paraId="545D1F58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È frammentario nei lobi della bocca.</w:t>
            </w:r>
          </w:p>
          <w:p w14:paraId="138848D7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lekythos piccolino con giro di palmette grafite a ver. nera attorno al ventre. Ha bocca, ansa e pieduccio staccati.</w:t>
            </w:r>
          </w:p>
          <w:p w14:paraId="6E5F19B9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altro lekythos simile, con figurine nere attorno al ventre. Sembra un corteggio dionisiaco; si vede una figura barbata su cavallo (o mulo) e avanti e dietro, figure di satiri e di menadi. È di disegno molto trasandato e orribilmente frammentario (ora è un blocco con la sabbia molle di cui è pieno il vasetto, ma quando di asciugherà andrà in briciole, poiché è tutto sbriciolato e marcito). Ha la bocca, l’ansa e il piede staccati.</w:t>
            </w:r>
          </w:p>
          <w:p w14:paraId="516AC232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tazza di forma skyphoide, con due anse, a vern. nera - Intera.</w:t>
            </w:r>
          </w:p>
          <w:p w14:paraId="07A8D8E6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tazza con alto piede, a vern. nera.</w:t>
            </w:r>
          </w:p>
          <w:p w14:paraId="7395B622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Ha il piede staccato ed è frammentaria nell’orlo.</w:t>
            </w:r>
          </w:p>
          <w:p w14:paraId="51793A99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5252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52523">
              <w:rPr>
                <w:rFonts w:ascii="Titillium Web" w:hAnsi="Titillium Web"/>
                <w:i/>
                <w:iCs/>
                <w:szCs w:val="24"/>
              </w:rPr>
              <w:t xml:space="preserve"> piatti di argilla giallastra, con alto piede grezzi e interi - Contenevano tutti ossicine di pollo (?)</w:t>
            </w:r>
          </w:p>
          <w:p w14:paraId="32C9F05A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5252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52523">
              <w:rPr>
                <w:rFonts w:ascii="Titillium Web" w:hAnsi="Titillium Web"/>
                <w:i/>
                <w:iCs/>
                <w:szCs w:val="24"/>
              </w:rPr>
              <w:t xml:space="preserve"> piccole ciotole di argilla giallastra, apode, grezze e intere.</w:t>
            </w:r>
          </w:p>
          <w:p w14:paraId="08166E56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1 altra ciotola di argilla idem, in due pezzi.</w:t>
            </w:r>
          </w:p>
          <w:p w14:paraId="5F939136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La tomba poggia a m. 1,55 di profondità</w:t>
            </w:r>
          </w:p>
          <w:p w14:paraId="3B36B8C2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È sepolta nella sabbia pura.</w:t>
            </w:r>
          </w:p>
          <w:p w14:paraId="3D5AB2C8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Lo strato di alluvione superficiale misura m. 0,55.</w:t>
            </w:r>
          </w:p>
          <w:p w14:paraId="5B89875C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 xml:space="preserve">Indubbiamente questa tomba è sepolta sul declivio di ponente di quella grande duna (o assieme di dune) che ha il suo asse nella </w:t>
            </w:r>
            <w:proofErr w:type="gramStart"/>
            <w:r w:rsidRPr="00052523">
              <w:rPr>
                <w:rFonts w:ascii="Titillium Web" w:hAnsi="Titillium Web"/>
                <w:i/>
                <w:iCs/>
                <w:szCs w:val="24"/>
              </w:rPr>
              <w:t>3a</w:t>
            </w:r>
            <w:proofErr w:type="gramEnd"/>
            <w:r w:rsidRPr="00052523">
              <w:rPr>
                <w:rFonts w:ascii="Titillium Web" w:hAnsi="Titillium Web"/>
                <w:i/>
                <w:iCs/>
                <w:szCs w:val="24"/>
              </w:rPr>
              <w:t xml:space="preserve"> piana, a levante del B e da dove sono uscite una quantità delle tombe più belle e più ricche.</w:t>
            </w:r>
          </w:p>
          <w:p w14:paraId="461AB30E" w14:textId="77777777" w:rsidR="00E20D03" w:rsidRPr="00052523" w:rsidRDefault="00F1297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523">
              <w:rPr>
                <w:rFonts w:ascii="Titillium Web" w:hAnsi="Titillium Web"/>
                <w:i/>
                <w:iCs/>
                <w:szCs w:val="24"/>
              </w:rPr>
              <w:t>Nella sezione dello scavo (da lev. a pon) si nota il lento declinare della duna di sabbia verso ponente.</w:t>
            </w:r>
          </w:p>
        </w:tc>
      </w:tr>
      <w:tr w:rsidR="0086297F" w:rsidRPr="0005252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86297F" w:rsidRPr="0005252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5252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5252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52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05252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52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52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95409BD" w14:textId="77777777" w:rsidR="00E20D03" w:rsidRPr="00052523" w:rsidRDefault="00F1297C" w:rsidP="00052523">
            <w:pPr>
              <w:jc w:val="center"/>
              <w:rPr>
                <w:rFonts w:ascii="Titillium Web" w:hAnsi="Titillium Web"/>
                <w:szCs w:val="24"/>
              </w:rPr>
            </w:pPr>
            <w:r w:rsidRPr="00052523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052523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052523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052523">
              <w:rPr>
                <w:rFonts w:ascii="Titillium Web" w:eastAsia="Titillium" w:hAnsi="Titillium Web" w:cs="Titillium"/>
                <w:szCs w:val="24"/>
              </w:rPr>
              <w:t xml:space="preserve"> 2021, pp. 303-305; </w:t>
            </w:r>
            <w:r w:rsidRPr="0005252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5252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52523" w:rsidRDefault="00472AF4" w:rsidP="0086297F">
      <w:pPr>
        <w:rPr>
          <w:rFonts w:ascii="Titillium Web" w:hAnsi="Titillium Web"/>
          <w:szCs w:val="24"/>
        </w:rPr>
      </w:pPr>
    </w:p>
    <w:sectPr w:rsidR="00472AF4" w:rsidRPr="00052523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52523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D1E61"/>
    <w:rsid w:val="00E20D03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2026-05-14T09:12:00Z</dcterms:modified>
</cp:coreProperties>
</file>