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145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1929</w:t>
            </w:r>
          </w:p>
        </w:tc>
      </w:tr>
      <w:tr w:rsidR="0086297F" w:rsidRPr="00D145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145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145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145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D145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145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145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145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465A0E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Tomba 1100 a umazione</w:t>
            </w:r>
          </w:p>
          <w:p w14:paraId="2EF97F16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A m. 164 a sud del canale Donna Bianca (lungo il B) e presso il ciglio del canalino B, a m. 1,15 di profondità giace una tomba a umazione</w:t>
            </w:r>
          </w:p>
          <w:p w14:paraId="348D4B15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Lo scheletro è orientato da nord-ovest a sud-est.</w:t>
            </w:r>
          </w:p>
          <w:p w14:paraId="2B86212C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Il cranio dista m. 3,00 circa dal canalino B ed ha la faccia volta a sud.</w:t>
            </w:r>
          </w:p>
          <w:p w14:paraId="53B365D5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L’assieme dello scheletro è assai marcito, anzi quasi consunto.</w:t>
            </w:r>
          </w:p>
          <w:p w14:paraId="245675D8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A destra dello scheletro erano disposte le seguenti suppellettili</w:t>
            </w:r>
          </w:p>
          <w:p w14:paraId="23F3B4AA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1 oinochoe di forma ovoidale con bocca a largo beccuccio e ansa verticale, di fattura pesante e a vern. nera scadente. È intero.</w:t>
            </w:r>
          </w:p>
          <w:p w14:paraId="5766A563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2 kotylai emisferici di fattura pesante1 e a vernice nera scadente; sono in fram.ti.</w:t>
            </w:r>
          </w:p>
          <w:p w14:paraId="17E3B9AF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I kotylai contenevano ossicine di pollo ed erano coperti da</w:t>
            </w:r>
          </w:p>
          <w:p w14:paraId="16572593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145A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145A3">
              <w:rPr>
                <w:rFonts w:ascii="Titillium Web" w:hAnsi="Titillium Web"/>
                <w:i/>
                <w:iCs/>
                <w:szCs w:val="24"/>
              </w:rPr>
              <w:t xml:space="preserve"> piatti tozzi e pesanti, con basso piede, a vernice nera scadente; interi.</w:t>
            </w:r>
          </w:p>
          <w:p w14:paraId="28493851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Null’altro -</w:t>
            </w:r>
          </w:p>
          <w:p w14:paraId="1C0252F2" w14:textId="77777777" w:rsidR="0080652C" w:rsidRPr="00D145A3" w:rsidRDefault="009B2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45A3">
              <w:rPr>
                <w:rFonts w:ascii="Titillium Web" w:hAnsi="Titillium Web"/>
                <w:i/>
                <w:iCs/>
                <w:szCs w:val="24"/>
              </w:rPr>
              <w:t>La tomba era sepolta nella sabbia pura e lo strato alluvionale superiore (di sabbia argillosa giallastra) era di m. 0,55 –</w:t>
            </w:r>
          </w:p>
        </w:tc>
      </w:tr>
      <w:tr w:rsidR="0086297F" w:rsidRPr="00D145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145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145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145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14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145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14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45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34C763" w14:textId="77777777" w:rsidR="0080652C" w:rsidRPr="00D145A3" w:rsidRDefault="009B2F1D" w:rsidP="00D145A3">
            <w:pPr>
              <w:jc w:val="center"/>
              <w:rPr>
                <w:rFonts w:ascii="Titillium Web" w:hAnsi="Titillium Web"/>
                <w:szCs w:val="24"/>
              </w:rPr>
            </w:pPr>
            <w:r w:rsidRPr="00D145A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145A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0652C"/>
    <w:rsid w:val="0086297F"/>
    <w:rsid w:val="009E4922"/>
    <w:rsid w:val="00AB321D"/>
    <w:rsid w:val="00B165C4"/>
    <w:rsid w:val="00C15B4F"/>
    <w:rsid w:val="00C21EE0"/>
    <w:rsid w:val="00D145A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2026-05-13T21:18:00Z</dcterms:modified>
</cp:coreProperties>
</file>