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1101</w:t>
      </w:r>
    </w:p>
    <w:tbl>
      <w:tblPr>
        <w:tblStyle w:val="Grigliatabella"/>
        <w:tblW w:w="5000" w:type="pct"/>
        <w:jc w:val="center"/>
        <w:tblLook w:val="04A0" w:firstRow="1" w:lastRow="0" w:firstColumn="1" w:lastColumn="0" w:noHBand="0" w:noVBand="1"/>
      </w:tblPr>
      <w:tblGrid>
        <w:gridCol w:w="2990"/>
        <w:gridCol w:w="6070"/>
      </w:tblGrid>
      <w:tr w:rsidR="0086297F" w:rsidRPr="00431DC9" w14:paraId="69604347" w14:textId="77777777" w:rsidTr="002665C6">
        <w:trPr>
          <w:jc w:val="center"/>
        </w:trPr>
        <w:tc>
          <w:tcPr>
            <w:tcW w:w="1650" w:type="pct"/>
            <w:vAlign w:val="center"/>
          </w:tcPr>
          <w:p w14:paraId="59258D49"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Anno di rinvenimento</w:t>
            </w:r>
          </w:p>
        </w:tc>
        <w:tc>
          <w:tcPr>
            <w:tcW w:w="3350" w:type="pct"/>
            <w:vAlign w:val="center"/>
          </w:tcPr>
          <w:p w14:paraId="10AA1E7C" w14:textId="59BFE2EE" w:rsidR="0086297F" w:rsidRPr="00431DC9" w:rsidRDefault="0086297F" w:rsidP="002665C6">
            <w:pPr>
              <w:jc w:val="center"/>
              <w:rPr>
                <w:rFonts w:ascii="Titillium Web" w:hAnsi="Titillium Web"/>
                <w:szCs w:val="24"/>
              </w:rPr>
            </w:pPr>
            <w:r w:rsidRPr="00431DC9">
              <w:rPr>
                <w:rFonts w:ascii="Titillium Web" w:hAnsi="Titillium Web"/>
                <w:szCs w:val="24"/>
              </w:rPr>
              <w:t>1929</w:t>
            </w:r>
          </w:p>
        </w:tc>
      </w:tr>
      <w:tr w:rsidR="0086297F" w:rsidRPr="00431DC9" w14:paraId="3B6B9C62" w14:textId="77777777" w:rsidTr="002665C6">
        <w:trPr>
          <w:jc w:val="center"/>
        </w:trPr>
        <w:tc>
          <w:tcPr>
            <w:tcW w:w="1650" w:type="pct"/>
            <w:vAlign w:val="center"/>
          </w:tcPr>
          <w:p w14:paraId="2D01D888"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Stato di conservazione della tomba</w:t>
            </w:r>
          </w:p>
        </w:tc>
        <w:tc>
          <w:tcPr>
            <w:tcW w:w="3350" w:type="pct"/>
            <w:vAlign w:val="center"/>
          </w:tcPr>
          <w:p w14:paraId="3ADC95CD" w14:textId="31719CCD" w:rsidR="0086297F" w:rsidRPr="00431DC9" w:rsidRDefault="0086297F" w:rsidP="002665C6">
            <w:pPr>
              <w:jc w:val="center"/>
              <w:rPr>
                <w:rFonts w:ascii="Titillium Web" w:hAnsi="Titillium Web"/>
                <w:szCs w:val="24"/>
              </w:rPr>
            </w:pPr>
            <w:r w:rsidRPr="00431DC9">
              <w:rPr>
                <w:rFonts w:ascii="Titillium Web" w:hAnsi="Titillium Web"/>
                <w:szCs w:val="24"/>
              </w:rPr>
              <w:t>Intatta</w:t>
            </w:r>
          </w:p>
        </w:tc>
      </w:tr>
      <w:tr w:rsidR="0086297F" w:rsidRPr="00431DC9" w14:paraId="3D165E1E" w14:textId="77777777" w:rsidTr="002665C6">
        <w:trPr>
          <w:jc w:val="center"/>
        </w:trPr>
        <w:tc>
          <w:tcPr>
            <w:tcW w:w="1650" w:type="pct"/>
            <w:vAlign w:val="center"/>
          </w:tcPr>
          <w:p w14:paraId="2A5B3D4F"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Rito di seppellimento</w:t>
            </w:r>
          </w:p>
        </w:tc>
        <w:tc>
          <w:tcPr>
            <w:tcW w:w="3350" w:type="pct"/>
            <w:vAlign w:val="center"/>
          </w:tcPr>
          <w:p w14:paraId="094BD426" w14:textId="6E99443A" w:rsidR="0086297F" w:rsidRPr="00431DC9" w:rsidRDefault="0086297F" w:rsidP="002665C6">
            <w:pPr>
              <w:jc w:val="center"/>
              <w:rPr>
                <w:rFonts w:ascii="Titillium Web" w:hAnsi="Titillium Web"/>
                <w:szCs w:val="24"/>
              </w:rPr>
            </w:pPr>
            <w:r w:rsidRPr="00431DC9">
              <w:rPr>
                <w:rFonts w:ascii="Titillium Web" w:hAnsi="Titillium Web"/>
                <w:szCs w:val="24"/>
              </w:rPr>
              <w:t>Cremazione</w:t>
            </w:r>
          </w:p>
        </w:tc>
      </w:tr>
      <w:tr w:rsidR="0086297F" w:rsidRPr="00431DC9" w14:paraId="44CADBCB" w14:textId="77777777" w:rsidTr="002665C6">
        <w:trPr>
          <w:jc w:val="center"/>
        </w:trPr>
        <w:tc>
          <w:tcPr>
            <w:tcW w:w="1650" w:type="pct"/>
            <w:vAlign w:val="center"/>
          </w:tcPr>
          <w:p w14:paraId="1E25741A"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Struttura tomba</w:t>
            </w:r>
          </w:p>
        </w:tc>
        <w:tc>
          <w:tcPr>
            <w:tcW w:w="3350" w:type="pct"/>
            <w:vAlign w:val="center"/>
          </w:tcPr>
          <w:p w14:paraId="1DE3BCB3" w14:textId="08DB6A85" w:rsidR="0086297F" w:rsidRPr="00431DC9" w:rsidRDefault="0086297F" w:rsidP="002665C6">
            <w:pPr>
              <w:jc w:val="center"/>
              <w:rPr>
                <w:rFonts w:ascii="Titillium Web" w:hAnsi="Titillium Web"/>
                <w:szCs w:val="24"/>
              </w:rPr>
            </w:pPr>
            <w:r w:rsidRPr="00431DC9">
              <w:rPr>
                <w:rFonts w:ascii="Titillium Web" w:hAnsi="Titillium Web"/>
                <w:szCs w:val="24"/>
              </w:rPr>
              <w:t>pozzetto semplice</w:t>
            </w:r>
          </w:p>
        </w:tc>
      </w:tr>
      <w:tr w:rsidR="0086297F" w:rsidRPr="00431DC9" w14:paraId="47E1F943" w14:textId="77777777" w:rsidTr="002665C6">
        <w:trPr>
          <w:jc w:val="center"/>
        </w:trPr>
        <w:tc>
          <w:tcPr>
            <w:tcW w:w="1650" w:type="pct"/>
            <w:vAlign w:val="center"/>
          </w:tcPr>
          <w:p w14:paraId="355EE080"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 xml:space="preserve">Profondità dal piano di campagna </w:t>
            </w:r>
          </w:p>
        </w:tc>
        <w:tc>
          <w:tcPr>
            <w:tcW w:w="3350" w:type="pct"/>
            <w:vAlign w:val="center"/>
          </w:tcPr>
          <w:p w14:paraId="13D75B9B" w14:textId="6492371F" w:rsidR="0086297F" w:rsidRPr="00431DC9" w:rsidRDefault="0086297F" w:rsidP="002665C6">
            <w:pPr>
              <w:jc w:val="center"/>
              <w:rPr>
                <w:rFonts w:ascii="Titillium Web" w:hAnsi="Titillium Web"/>
                <w:szCs w:val="24"/>
              </w:rPr>
            </w:pPr>
            <w:r w:rsidRPr="00431DC9">
              <w:rPr>
                <w:rFonts w:ascii="Titillium Web" w:hAnsi="Titillium Web"/>
                <w:szCs w:val="24"/>
              </w:rPr>
              <w:t>1,3 m</w:t>
            </w:r>
          </w:p>
        </w:tc>
      </w:tr>
      <w:tr w:rsidR="0086297F" w:rsidRPr="00431DC9" w14:paraId="75BC79FE" w14:textId="77777777" w:rsidTr="002665C6">
        <w:trPr>
          <w:jc w:val="center"/>
        </w:trPr>
        <w:tc>
          <w:tcPr>
            <w:tcW w:w="1650" w:type="pct"/>
            <w:vAlign w:val="center"/>
          </w:tcPr>
          <w:p w14:paraId="432462C5"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Dimensioni della sepoltura</w:t>
            </w:r>
          </w:p>
        </w:tc>
        <w:tc>
          <w:tcPr>
            <w:tcW w:w="3350" w:type="pct"/>
            <w:vAlign w:val="center"/>
          </w:tcPr>
          <w:p w14:paraId="65EDFAD4" w14:textId="5859930D" w:rsidR="0086297F" w:rsidRPr="00431DC9" w:rsidRDefault="0086297F" w:rsidP="002665C6">
            <w:pPr>
              <w:jc w:val="center"/>
              <w:rPr>
                <w:rFonts w:ascii="Titillium Web" w:hAnsi="Titillium Web"/>
                <w:szCs w:val="24"/>
              </w:rPr>
            </w:pPr>
            <w:r w:rsidRPr="00431DC9">
              <w:rPr>
                <w:rFonts w:ascii="Titillium Web" w:hAnsi="Titillium Web"/>
                <w:szCs w:val="24"/>
              </w:rPr>
              <w:t>Dimensioni non registrate</w:t>
            </w:r>
          </w:p>
        </w:tc>
      </w:tr>
      <w:tr w:rsidR="0086297F" w:rsidRPr="00431DC9" w14:paraId="35E5C09E" w14:textId="77777777" w:rsidTr="002665C6">
        <w:trPr>
          <w:jc w:val="center"/>
        </w:trPr>
        <w:tc>
          <w:tcPr>
            <w:tcW w:w="1650" w:type="pct"/>
            <w:vAlign w:val="center"/>
          </w:tcPr>
          <w:p w14:paraId="5AA10374"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Orientamento dello scheletro</w:t>
            </w:r>
          </w:p>
        </w:tc>
        <w:tc>
          <w:tcPr>
            <w:tcW w:w="3350" w:type="pct"/>
            <w:vAlign w:val="center"/>
          </w:tcPr>
          <w:p w14:paraId="6E0E4E7B" w14:textId="7F6B3E0C" w:rsidR="0086297F" w:rsidRPr="00431DC9" w:rsidRDefault="0086297F" w:rsidP="002665C6">
            <w:pPr>
              <w:jc w:val="center"/>
              <w:rPr>
                <w:rFonts w:ascii="Titillium Web" w:hAnsi="Titillium Web"/>
                <w:szCs w:val="24"/>
              </w:rPr>
            </w:pPr>
            <w:r w:rsidRPr="00431DC9">
              <w:rPr>
                <w:rFonts w:ascii="Titillium Web" w:hAnsi="Titillium Web"/>
                <w:szCs w:val="24"/>
              </w:rPr>
              <w:t>/</w:t>
            </w:r>
          </w:p>
        </w:tc>
      </w:tr>
      <w:tr w:rsidR="0086297F" w:rsidRPr="00431DC9" w14:paraId="71236441" w14:textId="77777777" w:rsidTr="002665C6">
        <w:trPr>
          <w:jc w:val="center"/>
        </w:trPr>
        <w:tc>
          <w:tcPr>
            <w:tcW w:w="1650" w:type="pct"/>
            <w:vAlign w:val="center"/>
          </w:tcPr>
          <w:p w14:paraId="4A1B31A8"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Segnacolo</w:t>
            </w:r>
          </w:p>
        </w:tc>
        <w:tc>
          <w:tcPr>
            <w:tcW w:w="3350" w:type="pct"/>
            <w:vAlign w:val="center"/>
          </w:tcPr>
          <w:p w14:paraId="104CE615" w14:textId="50385AE1" w:rsidR="0086297F" w:rsidRPr="00431DC9" w:rsidRDefault="0086297F" w:rsidP="002665C6">
            <w:pPr>
              <w:jc w:val="center"/>
              <w:rPr>
                <w:rFonts w:ascii="Titillium Web" w:hAnsi="Titillium Web"/>
                <w:szCs w:val="24"/>
              </w:rPr>
            </w:pPr>
            <w:r w:rsidRPr="00431DC9">
              <w:rPr>
                <w:rFonts w:ascii="Titillium Web" w:hAnsi="Titillium Web"/>
                <w:szCs w:val="24"/>
              </w:rPr>
              <w:t>Ciottolo fluviale</w:t>
            </w:r>
          </w:p>
        </w:tc>
      </w:tr>
      <w:tr w:rsidR="0086297F" w:rsidRPr="00431DC9" w14:paraId="6D6CBA71" w14:textId="77777777" w:rsidTr="002665C6">
        <w:trPr>
          <w:jc w:val="center"/>
        </w:trPr>
        <w:tc>
          <w:tcPr>
            <w:tcW w:w="1650" w:type="pct"/>
            <w:vAlign w:val="center"/>
          </w:tcPr>
          <w:p w14:paraId="75CA0D64"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Giornale di scavo</w:t>
            </w:r>
          </w:p>
        </w:tc>
        <w:tc>
          <w:tcPr>
            <w:tcW w:w="3350" w:type="pct"/>
            <w:vAlign w:val="center"/>
          </w:tcPr>
          <w:p w14:paraId="435E5EFF" w14:textId="77777777" w:rsidR="004510E1" w:rsidRPr="00431DC9" w:rsidRDefault="00B53413">
            <w:pPr>
              <w:rPr>
                <w:rFonts w:ascii="Titillium Web" w:hAnsi="Titillium Web"/>
                <w:i/>
                <w:iCs/>
                <w:szCs w:val="24"/>
              </w:rPr>
            </w:pPr>
            <w:r w:rsidRPr="00431DC9">
              <w:rPr>
                <w:rFonts w:ascii="Titillium Web" w:hAnsi="Titillium Web"/>
                <w:i/>
                <w:iCs/>
                <w:szCs w:val="24"/>
              </w:rPr>
              <w:t>Tomba 1101 - a cremazione</w:t>
            </w:r>
          </w:p>
          <w:p w14:paraId="166F2BEA" w14:textId="77777777" w:rsidR="004510E1" w:rsidRPr="00431DC9" w:rsidRDefault="00B53413">
            <w:pPr>
              <w:rPr>
                <w:rFonts w:ascii="Titillium Web" w:hAnsi="Titillium Web"/>
                <w:i/>
                <w:iCs/>
                <w:szCs w:val="24"/>
              </w:rPr>
            </w:pPr>
            <w:r w:rsidRPr="00431DC9">
              <w:rPr>
                <w:rFonts w:ascii="Titillium Web" w:hAnsi="Titillium Web"/>
                <w:i/>
                <w:iCs/>
                <w:szCs w:val="24"/>
              </w:rPr>
              <w:t xml:space="preserve">A m. 3,00 a sud del cranio della 1100, si rinviene un grosso </w:t>
            </w:r>
            <w:proofErr w:type="gramStart"/>
            <w:r w:rsidRPr="00431DC9">
              <w:rPr>
                <w:rFonts w:ascii="Titillium Web" w:hAnsi="Titillium Web"/>
                <w:i/>
                <w:iCs/>
                <w:szCs w:val="24"/>
              </w:rPr>
              <w:t>dolio</w:t>
            </w:r>
            <w:proofErr w:type="gramEnd"/>
            <w:r w:rsidRPr="00431DC9">
              <w:rPr>
                <w:rFonts w:ascii="Titillium Web" w:hAnsi="Titillium Web"/>
                <w:i/>
                <w:iCs/>
                <w:szCs w:val="24"/>
              </w:rPr>
              <w:t xml:space="preserve"> il quale poggia alla prof.tà di m. 1,30 Il dolio è alto m. 0,70, di forma ovoidale irregolare e tozza, di fattura primitiva e di impasto grossolano e male cotto.</w:t>
            </w:r>
          </w:p>
          <w:p w14:paraId="41F46A3A" w14:textId="77777777" w:rsidR="004510E1" w:rsidRPr="00431DC9" w:rsidRDefault="00B53413">
            <w:pPr>
              <w:rPr>
                <w:rFonts w:ascii="Titillium Web" w:hAnsi="Titillium Web"/>
                <w:i/>
                <w:iCs/>
                <w:szCs w:val="24"/>
              </w:rPr>
            </w:pPr>
            <w:r w:rsidRPr="00431DC9">
              <w:rPr>
                <w:rFonts w:ascii="Titillium Web" w:hAnsi="Titillium Web"/>
                <w:i/>
                <w:iCs/>
                <w:szCs w:val="24"/>
              </w:rPr>
              <w:t>È completamente marcito - e non si è potuto raccogliere -</w:t>
            </w:r>
          </w:p>
          <w:p w14:paraId="589C1214" w14:textId="77777777" w:rsidR="004510E1" w:rsidRPr="00431DC9" w:rsidRDefault="00B53413">
            <w:pPr>
              <w:rPr>
                <w:rFonts w:ascii="Titillium Web" w:hAnsi="Titillium Web"/>
                <w:i/>
                <w:iCs/>
                <w:szCs w:val="24"/>
              </w:rPr>
            </w:pPr>
            <w:r w:rsidRPr="00431DC9">
              <w:rPr>
                <w:rFonts w:ascii="Titillium Web" w:hAnsi="Titillium Web"/>
                <w:i/>
                <w:iCs/>
                <w:szCs w:val="24"/>
              </w:rPr>
              <w:t>Entro la bocca del dolio si rinvenne un</w:t>
            </w:r>
          </w:p>
          <w:p w14:paraId="766E6F64" w14:textId="77777777" w:rsidR="004510E1" w:rsidRPr="00431DC9" w:rsidRDefault="00B53413">
            <w:pPr>
              <w:rPr>
                <w:rFonts w:ascii="Titillium Web" w:hAnsi="Titillium Web"/>
                <w:i/>
                <w:iCs/>
                <w:szCs w:val="24"/>
              </w:rPr>
            </w:pPr>
            <w:r w:rsidRPr="00431DC9">
              <w:rPr>
                <w:rFonts w:ascii="Titillium Web" w:hAnsi="Titillium Web"/>
                <w:i/>
                <w:iCs/>
                <w:szCs w:val="24"/>
              </w:rPr>
              <w:t xml:space="preserve">grosso ciottolo fluviale </w:t>
            </w:r>
            <w:proofErr w:type="gramStart"/>
            <w:r w:rsidRPr="00431DC9">
              <w:rPr>
                <w:rFonts w:ascii="Titillium Web" w:hAnsi="Titillium Web"/>
                <w:i/>
                <w:iCs/>
                <w:szCs w:val="24"/>
              </w:rPr>
              <w:t>e</w:t>
            </w:r>
            <w:proofErr w:type="gramEnd"/>
            <w:r w:rsidRPr="00431DC9">
              <w:rPr>
                <w:rFonts w:ascii="Titillium Web" w:hAnsi="Titillium Web"/>
                <w:i/>
                <w:iCs/>
                <w:szCs w:val="24"/>
              </w:rPr>
              <w:t xml:space="preserve"> entro al dolio, a contatto immediato del ciottolo, si rinvennero pochi residui legnosi marciti, il che fa supporre che il dolio fosse chiuso nella bocca con un coperchio di legno. Simile osservazione fu fatta per la tomba n. 717 similmente a cremazione con dolio.</w:t>
            </w:r>
          </w:p>
          <w:p w14:paraId="05B43F46" w14:textId="77777777" w:rsidR="004510E1" w:rsidRPr="00431DC9" w:rsidRDefault="00B53413">
            <w:pPr>
              <w:rPr>
                <w:rFonts w:ascii="Titillium Web" w:hAnsi="Titillium Web"/>
                <w:i/>
                <w:iCs/>
                <w:szCs w:val="24"/>
              </w:rPr>
            </w:pPr>
            <w:r w:rsidRPr="00431DC9">
              <w:rPr>
                <w:rFonts w:ascii="Titillium Web" w:hAnsi="Titillium Web"/>
                <w:i/>
                <w:iCs/>
                <w:szCs w:val="24"/>
              </w:rPr>
              <w:t>Nell’interno del dolio si rinvennero:</w:t>
            </w:r>
          </w:p>
          <w:p w14:paraId="6EEC224A" w14:textId="77777777" w:rsidR="004510E1" w:rsidRPr="00431DC9" w:rsidRDefault="00B53413">
            <w:pPr>
              <w:rPr>
                <w:rFonts w:ascii="Titillium Web" w:hAnsi="Titillium Web"/>
                <w:i/>
                <w:iCs/>
                <w:szCs w:val="24"/>
              </w:rPr>
            </w:pPr>
            <w:r w:rsidRPr="00431DC9">
              <w:rPr>
                <w:rFonts w:ascii="Titillium Web" w:hAnsi="Titillium Web"/>
                <w:i/>
                <w:iCs/>
                <w:szCs w:val="24"/>
              </w:rPr>
              <w:t>2 oinochoai di forma oblunga, con bocca circolare e con ansa verticale che sormonta la bocca del vaso. Sulla spalla degli oinochoai in entrambi gira tutto all’interno una fascia con ovuli su fondo rosso.</w:t>
            </w:r>
          </w:p>
          <w:p w14:paraId="73EC641F" w14:textId="77777777" w:rsidR="004510E1" w:rsidRPr="00431DC9" w:rsidRDefault="00B53413">
            <w:pPr>
              <w:rPr>
                <w:rFonts w:ascii="Titillium Web" w:hAnsi="Titillium Web"/>
                <w:i/>
                <w:iCs/>
                <w:szCs w:val="24"/>
              </w:rPr>
            </w:pPr>
            <w:r w:rsidRPr="00431DC9">
              <w:rPr>
                <w:rFonts w:ascii="Titillium Web" w:hAnsi="Titillium Web"/>
                <w:i/>
                <w:iCs/>
                <w:szCs w:val="24"/>
              </w:rPr>
              <w:t>Gli oinochoai sono a vern. n. discreta e interi.</w:t>
            </w:r>
          </w:p>
          <w:p w14:paraId="4EC9E130" w14:textId="77777777" w:rsidR="004510E1" w:rsidRPr="00431DC9" w:rsidRDefault="00B53413">
            <w:pPr>
              <w:rPr>
                <w:rFonts w:ascii="Titillium Web" w:hAnsi="Titillium Web"/>
                <w:i/>
                <w:iCs/>
                <w:szCs w:val="24"/>
              </w:rPr>
            </w:pPr>
            <w:r w:rsidRPr="00431DC9">
              <w:rPr>
                <w:rFonts w:ascii="Titillium Web" w:hAnsi="Titillium Web"/>
                <w:i/>
                <w:iCs/>
                <w:szCs w:val="24"/>
              </w:rPr>
              <w:t>Nel fondo del dolio erano le ossa combuste</w:t>
            </w:r>
          </w:p>
        </w:tc>
      </w:tr>
      <w:tr w:rsidR="0086297F" w:rsidRPr="00431DC9" w14:paraId="1429C2F3" w14:textId="77777777" w:rsidTr="002665C6">
        <w:trPr>
          <w:jc w:val="center"/>
        </w:trPr>
        <w:tc>
          <w:tcPr>
            <w:tcW w:w="1650" w:type="pct"/>
            <w:vAlign w:val="center"/>
          </w:tcPr>
          <w:p w14:paraId="7F398080"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Posizione del corredo</w:t>
            </w:r>
          </w:p>
        </w:tc>
        <w:tc>
          <w:tcPr>
            <w:tcW w:w="3350" w:type="pct"/>
            <w:vAlign w:val="center"/>
          </w:tcPr>
          <w:p w14:paraId="5C03ADA7" w14:textId="7BF3AD8D" w:rsidR="0086297F" w:rsidRPr="00431DC9" w:rsidRDefault="0086297F" w:rsidP="002665C6">
            <w:pPr>
              <w:jc w:val="center"/>
              <w:rPr>
                <w:rFonts w:ascii="Titillium Web" w:hAnsi="Titillium Web"/>
                <w:szCs w:val="24"/>
              </w:rPr>
            </w:pPr>
            <w:r w:rsidRPr="00431DC9">
              <w:rPr>
                <w:rFonts w:ascii="Titillium Web" w:hAnsi="Titillium Web"/>
                <w:szCs w:val="24"/>
              </w:rPr>
              <w:t>Dentro il cinerario</w:t>
            </w:r>
          </w:p>
        </w:tc>
      </w:tr>
      <w:tr w:rsidR="0086297F" w:rsidRPr="00431DC9" w14:paraId="71A0E4AF" w14:textId="77777777" w:rsidTr="002665C6">
        <w:trPr>
          <w:jc w:val="center"/>
        </w:trPr>
        <w:tc>
          <w:tcPr>
            <w:tcW w:w="1650" w:type="pct"/>
            <w:vAlign w:val="center"/>
          </w:tcPr>
          <w:p w14:paraId="2128B19B"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Genere (legato all’analisi del corredo)</w:t>
            </w:r>
          </w:p>
        </w:tc>
        <w:tc>
          <w:tcPr>
            <w:tcW w:w="3350" w:type="pct"/>
            <w:vAlign w:val="center"/>
          </w:tcPr>
          <w:p w14:paraId="31324C2B" w14:textId="4E55E405" w:rsidR="0086297F" w:rsidRPr="00431DC9" w:rsidRDefault="0086297F" w:rsidP="002665C6">
            <w:pPr>
              <w:jc w:val="center"/>
              <w:rPr>
                <w:rFonts w:ascii="Titillium Web" w:hAnsi="Titillium Web"/>
                <w:szCs w:val="24"/>
              </w:rPr>
            </w:pPr>
            <w:r w:rsidRPr="00431DC9">
              <w:rPr>
                <w:rFonts w:ascii="Titillium Web" w:hAnsi="Titillium Web"/>
                <w:szCs w:val="24"/>
              </w:rPr>
              <w:t>Non determinabile</w:t>
            </w:r>
          </w:p>
        </w:tc>
      </w:tr>
      <w:tr w:rsidR="0086297F" w:rsidRPr="00431DC9" w14:paraId="17633947" w14:textId="77777777" w:rsidTr="002665C6">
        <w:trPr>
          <w:jc w:val="center"/>
        </w:trPr>
        <w:tc>
          <w:tcPr>
            <w:tcW w:w="1650" w:type="pct"/>
            <w:vAlign w:val="center"/>
          </w:tcPr>
          <w:p w14:paraId="44721053"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Sesso (legato alle analisi antropologiche)</w:t>
            </w:r>
          </w:p>
        </w:tc>
        <w:tc>
          <w:tcPr>
            <w:tcW w:w="3350" w:type="pct"/>
            <w:vAlign w:val="center"/>
          </w:tcPr>
          <w:p w14:paraId="66E918A4" w14:textId="50197FF0" w:rsidR="0086297F" w:rsidRPr="00431DC9" w:rsidRDefault="0086297F" w:rsidP="002665C6">
            <w:pPr>
              <w:jc w:val="center"/>
              <w:rPr>
                <w:rFonts w:ascii="Titillium Web" w:hAnsi="Titillium Web"/>
                <w:szCs w:val="24"/>
              </w:rPr>
            </w:pPr>
            <w:r w:rsidRPr="00431DC9">
              <w:rPr>
                <w:rFonts w:ascii="Titillium Web" w:hAnsi="Titillium Web"/>
                <w:szCs w:val="24"/>
              </w:rPr>
              <w:t>Non determinabile</w:t>
            </w:r>
          </w:p>
        </w:tc>
      </w:tr>
      <w:tr w:rsidR="0086297F" w:rsidRPr="00431DC9" w14:paraId="0588946D" w14:textId="77777777" w:rsidTr="002665C6">
        <w:trPr>
          <w:jc w:val="center"/>
        </w:trPr>
        <w:tc>
          <w:tcPr>
            <w:tcW w:w="1650" w:type="pct"/>
            <w:vAlign w:val="center"/>
          </w:tcPr>
          <w:p w14:paraId="54990945"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t>Classi di età</w:t>
            </w:r>
          </w:p>
        </w:tc>
        <w:tc>
          <w:tcPr>
            <w:tcW w:w="3350" w:type="pct"/>
            <w:vAlign w:val="center"/>
          </w:tcPr>
          <w:p w14:paraId="0E0589EA" w14:textId="7D4DF825" w:rsidR="0086297F" w:rsidRPr="00431DC9" w:rsidRDefault="0086297F" w:rsidP="002665C6">
            <w:pPr>
              <w:jc w:val="center"/>
              <w:rPr>
                <w:rFonts w:ascii="Titillium Web" w:hAnsi="Titillium Web"/>
                <w:szCs w:val="24"/>
              </w:rPr>
            </w:pPr>
            <w:r w:rsidRPr="00431DC9">
              <w:rPr>
                <w:rFonts w:ascii="Titillium Web" w:hAnsi="Titillium Web"/>
                <w:szCs w:val="24"/>
              </w:rPr>
              <w:t>Non determinabile</w:t>
            </w:r>
          </w:p>
        </w:tc>
      </w:tr>
      <w:tr w:rsidR="0086297F" w:rsidRPr="00431DC9" w14:paraId="1FFA88A1" w14:textId="77777777" w:rsidTr="002665C6">
        <w:trPr>
          <w:jc w:val="center"/>
        </w:trPr>
        <w:tc>
          <w:tcPr>
            <w:tcW w:w="1650" w:type="pct"/>
            <w:vAlign w:val="center"/>
          </w:tcPr>
          <w:p w14:paraId="63B2D8D6" w14:textId="77777777" w:rsidR="0086297F" w:rsidRPr="00431DC9" w:rsidRDefault="0086297F" w:rsidP="002665C6">
            <w:pPr>
              <w:jc w:val="center"/>
              <w:rPr>
                <w:rFonts w:ascii="Titillium Web" w:hAnsi="Titillium Web"/>
                <w:smallCaps/>
                <w:szCs w:val="24"/>
              </w:rPr>
            </w:pPr>
            <w:r w:rsidRPr="00431DC9">
              <w:rPr>
                <w:rFonts w:ascii="Titillium Web" w:hAnsi="Titillium Web"/>
                <w:smallCaps/>
                <w:szCs w:val="24"/>
              </w:rPr>
              <w:lastRenderedPageBreak/>
              <w:t>Bibliografia essenziale</w:t>
            </w:r>
          </w:p>
        </w:tc>
        <w:tc>
          <w:tcPr>
            <w:tcW w:w="3350" w:type="pct"/>
            <w:vAlign w:val="center"/>
          </w:tcPr>
          <w:p w14:paraId="31D0C5E1" w14:textId="77777777" w:rsidR="004510E1" w:rsidRPr="00431DC9" w:rsidRDefault="00B53413" w:rsidP="00431DC9">
            <w:pPr>
              <w:jc w:val="center"/>
              <w:rPr>
                <w:rFonts w:ascii="Titillium Web" w:hAnsi="Titillium Web"/>
                <w:szCs w:val="24"/>
              </w:rPr>
            </w:pPr>
            <w:r w:rsidRPr="00431DC9">
              <w:rPr>
                <w:rFonts w:ascii="Titillium Web" w:eastAsia="Titillium" w:hAnsi="Titillium Web" w:cs="Titillium"/>
                <w:smallCaps/>
                <w:szCs w:val="24"/>
              </w:rPr>
              <w:t>Gaucci</w:t>
            </w:r>
            <w:r w:rsidRPr="00431DC9">
              <w:rPr>
                <w:rFonts w:ascii="Titillium Web" w:eastAsia="Titillium" w:hAnsi="Titillium Web" w:cs="Titillium"/>
                <w:szCs w:val="24"/>
              </w:rPr>
              <w:t xml:space="preserve"> 2014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31DC9"/>
    <w:rsid w:val="004510E1"/>
    <w:rsid w:val="00472AF4"/>
    <w:rsid w:val="00551AF8"/>
    <w:rsid w:val="005B5AFF"/>
    <w:rsid w:val="006162A4"/>
    <w:rsid w:val="006346F7"/>
    <w:rsid w:val="006D6EFB"/>
    <w:rsid w:val="007145BC"/>
    <w:rsid w:val="0086297F"/>
    <w:rsid w:val="008A64C8"/>
    <w:rsid w:val="009E4922"/>
    <w:rsid w:val="00AB321D"/>
    <w:rsid w:val="00B165C4"/>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2026-05-13T21:17:00Z</dcterms:modified>
</cp:coreProperties>
</file>