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1108</w:t>
      </w:r>
    </w:p>
    <w:tbl>
      <w:tblPr>
        <w:tblStyle w:val="Grigliatabella"/>
        <w:tblW w:w="5000" w:type="pct"/>
        <w:jc w:val="center"/>
        <w:tblLook w:val="04A0" w:firstRow="1" w:lastRow="0" w:firstColumn="1" w:lastColumn="0" w:noHBand="0" w:noVBand="1"/>
      </w:tblPr>
      <w:tblGrid>
        <w:gridCol w:w="2990"/>
        <w:gridCol w:w="6070"/>
      </w:tblGrid>
      <w:tr w:rsidR="0086297F" w:rsidRPr="007A194C" w14:paraId="69604347" w14:textId="77777777" w:rsidTr="002665C6">
        <w:trPr>
          <w:jc w:val="center"/>
        </w:trPr>
        <w:tc>
          <w:tcPr>
            <w:tcW w:w="1650" w:type="pct"/>
            <w:vAlign w:val="center"/>
          </w:tcPr>
          <w:p w14:paraId="59258D49"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Anno di rinvenimento</w:t>
            </w:r>
          </w:p>
        </w:tc>
        <w:tc>
          <w:tcPr>
            <w:tcW w:w="3350" w:type="pct"/>
            <w:vAlign w:val="center"/>
          </w:tcPr>
          <w:p w14:paraId="10AA1E7C" w14:textId="59BFE2EE" w:rsidR="0086297F" w:rsidRPr="007A194C" w:rsidRDefault="0086297F" w:rsidP="002665C6">
            <w:pPr>
              <w:jc w:val="center"/>
              <w:rPr>
                <w:rFonts w:ascii="Titillium Web" w:hAnsi="Titillium Web"/>
                <w:szCs w:val="24"/>
              </w:rPr>
            </w:pPr>
            <w:r w:rsidRPr="007A194C">
              <w:rPr>
                <w:rFonts w:ascii="Titillium Web" w:hAnsi="Titillium Web"/>
                <w:szCs w:val="24"/>
              </w:rPr>
              <w:t>1930</w:t>
            </w:r>
          </w:p>
        </w:tc>
      </w:tr>
      <w:tr w:rsidR="0086297F" w:rsidRPr="007A194C" w14:paraId="3B6B9C62" w14:textId="77777777" w:rsidTr="002665C6">
        <w:trPr>
          <w:jc w:val="center"/>
        </w:trPr>
        <w:tc>
          <w:tcPr>
            <w:tcW w:w="1650" w:type="pct"/>
            <w:vAlign w:val="center"/>
          </w:tcPr>
          <w:p w14:paraId="2D01D888"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Stato di conservazione della tomba</w:t>
            </w:r>
          </w:p>
        </w:tc>
        <w:tc>
          <w:tcPr>
            <w:tcW w:w="3350" w:type="pct"/>
            <w:vAlign w:val="center"/>
          </w:tcPr>
          <w:p w14:paraId="3ADC95CD" w14:textId="31719CCD" w:rsidR="0086297F" w:rsidRPr="007A194C" w:rsidRDefault="0086297F" w:rsidP="002665C6">
            <w:pPr>
              <w:jc w:val="center"/>
              <w:rPr>
                <w:rFonts w:ascii="Titillium Web" w:hAnsi="Titillium Web"/>
                <w:szCs w:val="24"/>
              </w:rPr>
            </w:pPr>
            <w:r w:rsidRPr="007A194C">
              <w:rPr>
                <w:rFonts w:ascii="Titillium Web" w:hAnsi="Titillium Web"/>
                <w:szCs w:val="24"/>
              </w:rPr>
              <w:t>Intatta</w:t>
            </w:r>
          </w:p>
        </w:tc>
      </w:tr>
      <w:tr w:rsidR="0086297F" w:rsidRPr="007A194C" w14:paraId="3D165E1E" w14:textId="77777777" w:rsidTr="002665C6">
        <w:trPr>
          <w:jc w:val="center"/>
        </w:trPr>
        <w:tc>
          <w:tcPr>
            <w:tcW w:w="1650" w:type="pct"/>
            <w:vAlign w:val="center"/>
          </w:tcPr>
          <w:p w14:paraId="2A5B3D4F"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Rito di seppellimento</w:t>
            </w:r>
          </w:p>
        </w:tc>
        <w:tc>
          <w:tcPr>
            <w:tcW w:w="3350" w:type="pct"/>
            <w:vAlign w:val="center"/>
          </w:tcPr>
          <w:p w14:paraId="094BD426" w14:textId="6E99443A" w:rsidR="0086297F" w:rsidRPr="007A194C" w:rsidRDefault="0086297F" w:rsidP="002665C6">
            <w:pPr>
              <w:jc w:val="center"/>
              <w:rPr>
                <w:rFonts w:ascii="Titillium Web" w:hAnsi="Titillium Web"/>
                <w:szCs w:val="24"/>
              </w:rPr>
            </w:pPr>
            <w:r w:rsidRPr="007A194C">
              <w:rPr>
                <w:rFonts w:ascii="Titillium Web" w:hAnsi="Titillium Web"/>
                <w:szCs w:val="24"/>
              </w:rPr>
              <w:t>Inumazione</w:t>
            </w:r>
          </w:p>
        </w:tc>
      </w:tr>
      <w:tr w:rsidR="0086297F" w:rsidRPr="007A194C" w14:paraId="44CADBCB" w14:textId="77777777" w:rsidTr="002665C6">
        <w:trPr>
          <w:jc w:val="center"/>
        </w:trPr>
        <w:tc>
          <w:tcPr>
            <w:tcW w:w="1650" w:type="pct"/>
            <w:vAlign w:val="center"/>
          </w:tcPr>
          <w:p w14:paraId="1E25741A"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Struttura tomba</w:t>
            </w:r>
          </w:p>
        </w:tc>
        <w:tc>
          <w:tcPr>
            <w:tcW w:w="3350" w:type="pct"/>
            <w:vAlign w:val="center"/>
          </w:tcPr>
          <w:p w14:paraId="1DE3BCB3" w14:textId="08DB6A85" w:rsidR="0086297F" w:rsidRPr="007A194C" w:rsidRDefault="0086297F" w:rsidP="002665C6">
            <w:pPr>
              <w:jc w:val="center"/>
              <w:rPr>
                <w:rFonts w:ascii="Titillium Web" w:hAnsi="Titillium Web"/>
                <w:szCs w:val="24"/>
              </w:rPr>
            </w:pPr>
            <w:r w:rsidRPr="007A194C">
              <w:rPr>
                <w:rFonts w:ascii="Titillium Web" w:hAnsi="Titillium Web"/>
                <w:szCs w:val="24"/>
              </w:rPr>
              <w:t>fossa con cassone ligneo</w:t>
            </w:r>
          </w:p>
        </w:tc>
      </w:tr>
      <w:tr w:rsidR="0086297F" w:rsidRPr="007A194C" w14:paraId="47E1F943" w14:textId="77777777" w:rsidTr="002665C6">
        <w:trPr>
          <w:jc w:val="center"/>
        </w:trPr>
        <w:tc>
          <w:tcPr>
            <w:tcW w:w="1650" w:type="pct"/>
            <w:vAlign w:val="center"/>
          </w:tcPr>
          <w:p w14:paraId="355EE080"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 xml:space="preserve">Profondità dal piano di campagna </w:t>
            </w:r>
          </w:p>
        </w:tc>
        <w:tc>
          <w:tcPr>
            <w:tcW w:w="3350" w:type="pct"/>
            <w:vAlign w:val="center"/>
          </w:tcPr>
          <w:p w14:paraId="13D75B9B" w14:textId="6492371F" w:rsidR="0086297F" w:rsidRPr="007A194C" w:rsidRDefault="0086297F" w:rsidP="002665C6">
            <w:pPr>
              <w:jc w:val="center"/>
              <w:rPr>
                <w:rFonts w:ascii="Titillium Web" w:hAnsi="Titillium Web"/>
                <w:szCs w:val="24"/>
              </w:rPr>
            </w:pPr>
            <w:r w:rsidRPr="007A194C">
              <w:rPr>
                <w:rFonts w:ascii="Titillium Web" w:hAnsi="Titillium Web"/>
                <w:szCs w:val="24"/>
              </w:rPr>
              <w:t>1,25 m</w:t>
            </w:r>
          </w:p>
        </w:tc>
      </w:tr>
      <w:tr w:rsidR="0086297F" w:rsidRPr="007A194C" w14:paraId="75BC79FE" w14:textId="77777777" w:rsidTr="002665C6">
        <w:trPr>
          <w:jc w:val="center"/>
        </w:trPr>
        <w:tc>
          <w:tcPr>
            <w:tcW w:w="1650" w:type="pct"/>
            <w:vAlign w:val="center"/>
          </w:tcPr>
          <w:p w14:paraId="432462C5"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Dimensioni della sepoltura</w:t>
            </w:r>
          </w:p>
        </w:tc>
        <w:tc>
          <w:tcPr>
            <w:tcW w:w="3350" w:type="pct"/>
            <w:vAlign w:val="center"/>
          </w:tcPr>
          <w:p w14:paraId="65EDFAD4" w14:textId="5859930D" w:rsidR="0086297F" w:rsidRPr="007A194C" w:rsidRDefault="0086297F" w:rsidP="002665C6">
            <w:pPr>
              <w:jc w:val="center"/>
              <w:rPr>
                <w:rFonts w:ascii="Titillium Web" w:hAnsi="Titillium Web"/>
                <w:szCs w:val="24"/>
              </w:rPr>
            </w:pPr>
            <w:r w:rsidRPr="007A194C">
              <w:rPr>
                <w:rFonts w:ascii="Titillium Web" w:hAnsi="Titillium Web"/>
                <w:szCs w:val="24"/>
              </w:rPr>
              <w:t>Dimensioni non registrate</w:t>
            </w:r>
          </w:p>
        </w:tc>
      </w:tr>
      <w:tr w:rsidR="0086297F" w:rsidRPr="007A194C" w14:paraId="35E5C09E" w14:textId="77777777" w:rsidTr="002665C6">
        <w:trPr>
          <w:jc w:val="center"/>
        </w:trPr>
        <w:tc>
          <w:tcPr>
            <w:tcW w:w="1650" w:type="pct"/>
            <w:vAlign w:val="center"/>
          </w:tcPr>
          <w:p w14:paraId="5AA10374"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Orientamento dello scheletro</w:t>
            </w:r>
          </w:p>
        </w:tc>
        <w:tc>
          <w:tcPr>
            <w:tcW w:w="3350" w:type="pct"/>
            <w:vAlign w:val="center"/>
          </w:tcPr>
          <w:p w14:paraId="6E0E4E7B" w14:textId="7F6B3E0C" w:rsidR="0086297F" w:rsidRPr="007A194C" w:rsidRDefault="0086297F" w:rsidP="002665C6">
            <w:pPr>
              <w:jc w:val="center"/>
              <w:rPr>
                <w:rFonts w:ascii="Titillium Web" w:hAnsi="Titillium Web"/>
                <w:szCs w:val="24"/>
              </w:rPr>
            </w:pPr>
            <w:r w:rsidRPr="007A194C">
              <w:rPr>
                <w:rFonts w:ascii="Titillium Web" w:hAnsi="Titillium Web"/>
                <w:szCs w:val="24"/>
              </w:rPr>
              <w:t>NW-SE</w:t>
            </w:r>
          </w:p>
        </w:tc>
      </w:tr>
      <w:tr w:rsidR="0086297F" w:rsidRPr="007A194C" w14:paraId="71236441" w14:textId="77777777" w:rsidTr="002665C6">
        <w:trPr>
          <w:jc w:val="center"/>
        </w:trPr>
        <w:tc>
          <w:tcPr>
            <w:tcW w:w="1650" w:type="pct"/>
            <w:vAlign w:val="center"/>
          </w:tcPr>
          <w:p w14:paraId="4A1B31A8"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Segnacolo</w:t>
            </w:r>
          </w:p>
        </w:tc>
        <w:tc>
          <w:tcPr>
            <w:tcW w:w="3350" w:type="pct"/>
            <w:vAlign w:val="center"/>
          </w:tcPr>
          <w:p w14:paraId="104CE615" w14:textId="50385AE1" w:rsidR="0086297F" w:rsidRPr="007A194C" w:rsidRDefault="0086297F" w:rsidP="002665C6">
            <w:pPr>
              <w:jc w:val="center"/>
              <w:rPr>
                <w:rFonts w:ascii="Titillium Web" w:hAnsi="Titillium Web"/>
                <w:szCs w:val="24"/>
              </w:rPr>
            </w:pPr>
            <w:r w:rsidRPr="007A194C">
              <w:rPr>
                <w:rFonts w:ascii="Titillium Web" w:hAnsi="Titillium Web"/>
                <w:szCs w:val="24"/>
              </w:rPr>
              <w:t>Ciottolo fluviale</w:t>
            </w:r>
          </w:p>
        </w:tc>
      </w:tr>
      <w:tr w:rsidR="0086297F" w:rsidRPr="007A194C" w14:paraId="6D6CBA71" w14:textId="77777777" w:rsidTr="002665C6">
        <w:trPr>
          <w:jc w:val="center"/>
        </w:trPr>
        <w:tc>
          <w:tcPr>
            <w:tcW w:w="1650" w:type="pct"/>
            <w:vAlign w:val="center"/>
          </w:tcPr>
          <w:p w14:paraId="75CA0D64"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Giornale di scavo</w:t>
            </w:r>
          </w:p>
        </w:tc>
        <w:tc>
          <w:tcPr>
            <w:tcW w:w="3350" w:type="pct"/>
            <w:vAlign w:val="center"/>
          </w:tcPr>
          <w:p w14:paraId="3A9F3BAB" w14:textId="77777777" w:rsidR="00D45AE1" w:rsidRPr="007A194C" w:rsidRDefault="00950C9E">
            <w:pPr>
              <w:rPr>
                <w:rFonts w:ascii="Titillium Web" w:hAnsi="Titillium Web"/>
                <w:i/>
                <w:iCs/>
                <w:szCs w:val="24"/>
              </w:rPr>
            </w:pPr>
            <w:r w:rsidRPr="007A194C">
              <w:rPr>
                <w:rFonts w:ascii="Titillium Web" w:hAnsi="Titillium Web"/>
                <w:i/>
                <w:iCs/>
                <w:szCs w:val="24"/>
              </w:rPr>
              <w:t>Tomba 1108 a umazione</w:t>
            </w:r>
          </w:p>
          <w:p w14:paraId="09C0E4EB" w14:textId="77777777" w:rsidR="00D45AE1" w:rsidRPr="007A194C" w:rsidRDefault="00950C9E">
            <w:pPr>
              <w:rPr>
                <w:rFonts w:ascii="Titillium Web" w:hAnsi="Titillium Web"/>
                <w:i/>
                <w:iCs/>
                <w:szCs w:val="24"/>
              </w:rPr>
            </w:pPr>
            <w:r w:rsidRPr="007A194C">
              <w:rPr>
                <w:rFonts w:ascii="Titillium Web" w:hAnsi="Titillium Web"/>
                <w:i/>
                <w:iCs/>
                <w:szCs w:val="24"/>
              </w:rPr>
              <w:t>A m 27,60 dalla cardinale nord - sud, a m 8,50 dal decumano est - ovest, è il centro di una tomba a umazione.</w:t>
            </w:r>
          </w:p>
          <w:p w14:paraId="481ABE06" w14:textId="77777777" w:rsidR="00D45AE1" w:rsidRPr="007A194C" w:rsidRDefault="00950C9E">
            <w:pPr>
              <w:rPr>
                <w:rFonts w:ascii="Titillium Web" w:hAnsi="Titillium Web"/>
                <w:i/>
                <w:iCs/>
                <w:szCs w:val="24"/>
              </w:rPr>
            </w:pPr>
            <w:r w:rsidRPr="007A194C">
              <w:rPr>
                <w:rFonts w:ascii="Titillium Web" w:hAnsi="Titillium Web"/>
                <w:i/>
                <w:iCs/>
                <w:szCs w:val="24"/>
              </w:rPr>
              <w:t>Lo scheletro orientato da nord - ovest a sud - est (gradi 280) con pochi vasetti fittili posa sopra un tavolato di legno (completamente marcito) ed è alla profondità di m 1,25.</w:t>
            </w:r>
          </w:p>
          <w:p w14:paraId="44F8BDED" w14:textId="77777777" w:rsidR="00D45AE1" w:rsidRPr="007A194C" w:rsidRDefault="00950C9E">
            <w:pPr>
              <w:rPr>
                <w:rFonts w:ascii="Titillium Web" w:hAnsi="Titillium Web"/>
                <w:i/>
                <w:iCs/>
                <w:szCs w:val="24"/>
              </w:rPr>
            </w:pPr>
            <w:r w:rsidRPr="007A194C">
              <w:rPr>
                <w:rFonts w:ascii="Titillium Web" w:hAnsi="Titillium Web"/>
                <w:i/>
                <w:iCs/>
                <w:szCs w:val="24"/>
              </w:rPr>
              <w:t>Sopra lo scheletro, presso la mano sinistra a m 1,00 circa dal piano di campagna si rinvenne un ciottolo fluviale.</w:t>
            </w:r>
          </w:p>
          <w:p w14:paraId="159B0D75" w14:textId="77777777" w:rsidR="00D45AE1" w:rsidRPr="007A194C" w:rsidRDefault="00950C9E">
            <w:pPr>
              <w:rPr>
                <w:rFonts w:ascii="Titillium Web" w:hAnsi="Titillium Web"/>
                <w:i/>
                <w:iCs/>
                <w:szCs w:val="24"/>
              </w:rPr>
            </w:pPr>
            <w:r w:rsidRPr="007A194C">
              <w:rPr>
                <w:rFonts w:ascii="Titillium Web" w:hAnsi="Titillium Web"/>
                <w:i/>
                <w:iCs/>
                <w:szCs w:val="24"/>
              </w:rPr>
              <w:t>Lo scheletro è lungo m 1,53 e sul bacino conservava</w:t>
            </w:r>
          </w:p>
          <w:p w14:paraId="78600B9B" w14:textId="77777777" w:rsidR="00D45AE1" w:rsidRPr="007A194C" w:rsidRDefault="00950C9E">
            <w:pPr>
              <w:rPr>
                <w:rFonts w:ascii="Titillium Web" w:hAnsi="Titillium Web"/>
                <w:i/>
                <w:iCs/>
                <w:szCs w:val="24"/>
              </w:rPr>
            </w:pPr>
            <w:r w:rsidRPr="007A194C">
              <w:rPr>
                <w:rFonts w:ascii="Titillium Web" w:hAnsi="Titillium Web"/>
                <w:i/>
                <w:iCs/>
                <w:szCs w:val="24"/>
              </w:rPr>
              <w:t>1 cinturone di bronzo del quale si raccolse soltanto</w:t>
            </w:r>
          </w:p>
          <w:p w14:paraId="17AA2BCD" w14:textId="77777777" w:rsidR="00D45AE1" w:rsidRPr="007A194C" w:rsidRDefault="00950C9E">
            <w:pPr>
              <w:rPr>
                <w:rFonts w:ascii="Titillium Web" w:hAnsi="Titillium Web"/>
                <w:i/>
                <w:iCs/>
                <w:szCs w:val="24"/>
              </w:rPr>
            </w:pPr>
            <w:r w:rsidRPr="007A194C">
              <w:rPr>
                <w:rFonts w:ascii="Titillium Web" w:hAnsi="Titillium Web"/>
                <w:i/>
                <w:iCs/>
                <w:szCs w:val="24"/>
              </w:rPr>
              <w:t>1 anello e il gancio con qualche frammentino insignificante e marcito di laminetta di bronzo.</w:t>
            </w:r>
          </w:p>
          <w:p w14:paraId="765F1FED" w14:textId="77777777" w:rsidR="00D45AE1" w:rsidRPr="007A194C" w:rsidRDefault="00950C9E">
            <w:pPr>
              <w:rPr>
                <w:rFonts w:ascii="Titillium Web" w:hAnsi="Titillium Web"/>
                <w:i/>
                <w:iCs/>
                <w:szCs w:val="24"/>
              </w:rPr>
            </w:pPr>
            <w:r w:rsidRPr="007A194C">
              <w:rPr>
                <w:rFonts w:ascii="Titillium Web" w:hAnsi="Titillium Web"/>
                <w:i/>
                <w:iCs/>
                <w:szCs w:val="24"/>
              </w:rPr>
              <w:t>Presso la mano sinistra era:</w:t>
            </w:r>
          </w:p>
          <w:p w14:paraId="3A58B9BD" w14:textId="77777777" w:rsidR="00D45AE1" w:rsidRPr="007A194C" w:rsidRDefault="00950C9E">
            <w:pPr>
              <w:rPr>
                <w:rFonts w:ascii="Titillium Web" w:hAnsi="Titillium Web"/>
                <w:i/>
                <w:iCs/>
                <w:szCs w:val="24"/>
              </w:rPr>
            </w:pPr>
            <w:r w:rsidRPr="007A194C">
              <w:rPr>
                <w:rFonts w:ascii="Titillium Web" w:hAnsi="Titillium Web"/>
                <w:i/>
                <w:iCs/>
                <w:szCs w:val="24"/>
              </w:rPr>
              <w:t>1 frammentino informe di bronzo</w:t>
            </w:r>
          </w:p>
          <w:p w14:paraId="78DA5E33" w14:textId="77777777" w:rsidR="00D45AE1" w:rsidRPr="007A194C" w:rsidRDefault="00950C9E">
            <w:pPr>
              <w:rPr>
                <w:rFonts w:ascii="Titillium Web" w:hAnsi="Titillium Web"/>
                <w:i/>
                <w:iCs/>
                <w:szCs w:val="24"/>
              </w:rPr>
            </w:pPr>
            <w:r w:rsidRPr="007A194C">
              <w:rPr>
                <w:rFonts w:ascii="Titillium Web" w:hAnsi="Titillium Web"/>
                <w:i/>
                <w:iCs/>
                <w:szCs w:val="24"/>
              </w:rPr>
              <w:t>Al lato destro della scheletro presso il ginocchio:</w:t>
            </w:r>
          </w:p>
          <w:p w14:paraId="6C5CC2DC" w14:textId="77777777" w:rsidR="00D45AE1" w:rsidRPr="007A194C" w:rsidRDefault="00950C9E">
            <w:pPr>
              <w:rPr>
                <w:rFonts w:ascii="Titillium Web" w:hAnsi="Titillium Web"/>
                <w:i/>
                <w:iCs/>
                <w:szCs w:val="24"/>
              </w:rPr>
            </w:pPr>
            <w:r w:rsidRPr="007A194C">
              <w:rPr>
                <w:rFonts w:ascii="Titillium Web" w:hAnsi="Titillium Web"/>
                <w:i/>
                <w:iCs/>
                <w:szCs w:val="24"/>
              </w:rPr>
              <w:t>1 brocchetta di argilla cenerognola a forma di oinochoe con bocca a beccuccio verticale, intera, a pareti spesse e con una ingubbiatura che all’atto dello scoprimento sembrava di riflessi metallici (è alta m 0,20)</w:t>
            </w:r>
          </w:p>
          <w:p w14:paraId="3DAC6756" w14:textId="77777777" w:rsidR="00D45AE1" w:rsidRPr="007A194C" w:rsidRDefault="00950C9E">
            <w:pPr>
              <w:rPr>
                <w:rFonts w:ascii="Titillium Web" w:hAnsi="Titillium Web"/>
                <w:i/>
                <w:iCs/>
                <w:szCs w:val="24"/>
              </w:rPr>
            </w:pPr>
            <w:r w:rsidRPr="007A194C">
              <w:rPr>
                <w:rFonts w:ascii="Titillium Web" w:hAnsi="Titillium Web"/>
                <w:i/>
                <w:iCs/>
                <w:szCs w:val="24"/>
              </w:rPr>
              <w:t>1 tazzina kylixoide con pieduccio a listello, a vernice nera e figurata nel medaglione e nell’esterno. È in frammenti e mancante delle anse; ma ricomponibile perfettamente per intero (7 frammenti)</w:t>
            </w:r>
          </w:p>
          <w:p w14:paraId="1A0519FF" w14:textId="77777777" w:rsidR="00D45AE1" w:rsidRPr="007A194C" w:rsidRDefault="00950C9E">
            <w:pPr>
              <w:rPr>
                <w:rFonts w:ascii="Titillium Web" w:hAnsi="Titillium Web"/>
                <w:i/>
                <w:iCs/>
                <w:szCs w:val="24"/>
              </w:rPr>
            </w:pPr>
            <w:r w:rsidRPr="007A194C">
              <w:rPr>
                <w:rFonts w:ascii="Titillium Web" w:hAnsi="Titillium Web"/>
                <w:i/>
                <w:iCs/>
                <w:szCs w:val="24"/>
              </w:rPr>
              <w:t>Nel medaglione: un uomo barbato, seduto su kline sopra una pelle di pantera.</w:t>
            </w:r>
          </w:p>
          <w:p w14:paraId="50C3179D" w14:textId="77777777" w:rsidR="00D45AE1" w:rsidRPr="007A194C" w:rsidRDefault="00950C9E">
            <w:pPr>
              <w:rPr>
                <w:rFonts w:ascii="Titillium Web" w:hAnsi="Titillium Web"/>
                <w:i/>
                <w:iCs/>
                <w:szCs w:val="24"/>
              </w:rPr>
            </w:pPr>
            <w:r w:rsidRPr="007A194C">
              <w:rPr>
                <w:rFonts w:ascii="Titillium Web" w:hAnsi="Titillium Web"/>
                <w:i/>
                <w:iCs/>
                <w:szCs w:val="24"/>
              </w:rPr>
              <w:lastRenderedPageBreak/>
              <w:t>Il disegno è frammentato</w:t>
            </w:r>
          </w:p>
          <w:p w14:paraId="676DC2EA" w14:textId="77777777" w:rsidR="00D45AE1" w:rsidRPr="007A194C" w:rsidRDefault="00950C9E">
            <w:pPr>
              <w:rPr>
                <w:rFonts w:ascii="Titillium Web" w:hAnsi="Titillium Web"/>
                <w:i/>
                <w:iCs/>
                <w:szCs w:val="24"/>
              </w:rPr>
            </w:pPr>
            <w:r w:rsidRPr="007A194C">
              <w:rPr>
                <w:rFonts w:ascii="Titillium Web" w:hAnsi="Titillium Web"/>
                <w:i/>
                <w:iCs/>
                <w:szCs w:val="24"/>
              </w:rPr>
              <w:t>Nel rovescio figure stanti, maschili, ammantate e di disegno assai inabile o trascurato. Li presso si raccolse:</w:t>
            </w:r>
          </w:p>
          <w:p w14:paraId="78DB85E3" w14:textId="77777777" w:rsidR="00D45AE1" w:rsidRPr="007A194C" w:rsidRDefault="00950C9E">
            <w:pPr>
              <w:rPr>
                <w:rFonts w:ascii="Titillium Web" w:hAnsi="Titillium Web"/>
                <w:i/>
                <w:iCs/>
                <w:szCs w:val="24"/>
              </w:rPr>
            </w:pPr>
            <w:r w:rsidRPr="007A194C">
              <w:rPr>
                <w:rFonts w:ascii="Titillium Web" w:hAnsi="Titillium Web"/>
                <w:i/>
                <w:iCs/>
                <w:szCs w:val="24"/>
              </w:rPr>
              <w:t>1 pezzetto di cannello di osso con coperchietto: sul cannello circoletti concentrici e fasci di righe che girano attorno al cannello (che è lungo 0,02)</w:t>
            </w:r>
          </w:p>
          <w:p w14:paraId="18AC5179" w14:textId="77777777" w:rsidR="00D45AE1" w:rsidRPr="007A194C" w:rsidRDefault="00950C9E">
            <w:pPr>
              <w:rPr>
                <w:rFonts w:ascii="Titillium Web" w:hAnsi="Titillium Web"/>
                <w:i/>
                <w:iCs/>
                <w:szCs w:val="24"/>
              </w:rPr>
            </w:pPr>
            <w:r w:rsidRPr="007A194C">
              <w:rPr>
                <w:rFonts w:ascii="Titillium Web" w:hAnsi="Titillium Web"/>
                <w:i/>
                <w:iCs/>
                <w:szCs w:val="24"/>
              </w:rPr>
              <w:t>La sabbia è a m 0,90 di profondità</w:t>
            </w:r>
          </w:p>
          <w:p w14:paraId="25BE5A1D" w14:textId="77777777" w:rsidR="00D45AE1" w:rsidRPr="007A194C" w:rsidRDefault="00D45AE1">
            <w:pPr>
              <w:rPr>
                <w:rFonts w:ascii="Titillium Web" w:hAnsi="Titillium Web"/>
                <w:i/>
                <w:iCs/>
                <w:szCs w:val="24"/>
              </w:rPr>
            </w:pPr>
          </w:p>
          <w:p w14:paraId="1293C522" w14:textId="77777777" w:rsidR="00D45AE1" w:rsidRPr="007A194C" w:rsidRDefault="00950C9E">
            <w:pPr>
              <w:rPr>
                <w:rFonts w:ascii="Titillium Web" w:hAnsi="Titillium Web"/>
                <w:i/>
                <w:iCs/>
                <w:szCs w:val="24"/>
              </w:rPr>
            </w:pPr>
            <w:r w:rsidRPr="007A194C">
              <w:rPr>
                <w:rFonts w:ascii="Titillium Web" w:hAnsi="Titillium Web"/>
                <w:i/>
                <w:iCs/>
                <w:szCs w:val="24"/>
              </w:rPr>
              <w:t>All’atto della scoperta il gancio e l’anello del cinturone di bronzo posavano sul ventre dello scheletro, ma sotto le ossa della spina dorsale seguitava a disegnarsi nella sabbia il nero della decomposizione del bronzo, per la qual cosa ho avuto l’impressione che il cinturone fosse costituito di una sottile fettuccia di lamina di bronzo fermata su una striscia di pelle o di cuoio e svolgentesi per intero fino ai capi dell’anello e del gancio.</w:t>
            </w:r>
          </w:p>
        </w:tc>
      </w:tr>
      <w:tr w:rsidR="0086297F" w:rsidRPr="007A194C" w14:paraId="1429C2F3" w14:textId="77777777" w:rsidTr="002665C6">
        <w:trPr>
          <w:jc w:val="center"/>
        </w:trPr>
        <w:tc>
          <w:tcPr>
            <w:tcW w:w="1650" w:type="pct"/>
            <w:vAlign w:val="center"/>
          </w:tcPr>
          <w:p w14:paraId="7F398080"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lastRenderedPageBreak/>
              <w:t>Posizione del corredo</w:t>
            </w:r>
          </w:p>
        </w:tc>
        <w:tc>
          <w:tcPr>
            <w:tcW w:w="3350" w:type="pct"/>
            <w:vAlign w:val="center"/>
          </w:tcPr>
          <w:p w14:paraId="5C03ADA7" w14:textId="7BF3AD8D" w:rsidR="0086297F" w:rsidRPr="007A194C" w:rsidRDefault="0086297F" w:rsidP="002665C6">
            <w:pPr>
              <w:jc w:val="center"/>
              <w:rPr>
                <w:rFonts w:ascii="Titillium Web" w:hAnsi="Titillium Web"/>
                <w:szCs w:val="24"/>
              </w:rPr>
            </w:pPr>
            <w:r w:rsidRPr="007A194C">
              <w:rPr>
                <w:rFonts w:ascii="Titillium Web" w:hAnsi="Titillium Web"/>
                <w:szCs w:val="24"/>
              </w:rPr>
              <w:t>Fianco destro</w:t>
            </w:r>
          </w:p>
        </w:tc>
      </w:tr>
      <w:tr w:rsidR="0086297F" w:rsidRPr="007A194C" w14:paraId="71A0E4AF" w14:textId="77777777" w:rsidTr="002665C6">
        <w:trPr>
          <w:jc w:val="center"/>
        </w:trPr>
        <w:tc>
          <w:tcPr>
            <w:tcW w:w="1650" w:type="pct"/>
            <w:vAlign w:val="center"/>
          </w:tcPr>
          <w:p w14:paraId="2128B19B"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Genere (legato all’analisi del corredo)</w:t>
            </w:r>
          </w:p>
        </w:tc>
        <w:tc>
          <w:tcPr>
            <w:tcW w:w="3350" w:type="pct"/>
            <w:vAlign w:val="center"/>
          </w:tcPr>
          <w:p w14:paraId="31324C2B" w14:textId="4E55E405" w:rsidR="0086297F" w:rsidRPr="007A194C" w:rsidRDefault="0086297F" w:rsidP="002665C6">
            <w:pPr>
              <w:jc w:val="center"/>
              <w:rPr>
                <w:rFonts w:ascii="Titillium Web" w:hAnsi="Titillium Web"/>
                <w:szCs w:val="24"/>
              </w:rPr>
            </w:pPr>
            <w:r w:rsidRPr="007A194C">
              <w:rPr>
                <w:rFonts w:ascii="Titillium Web" w:hAnsi="Titillium Web"/>
                <w:szCs w:val="24"/>
              </w:rPr>
              <w:t>Femminile</w:t>
            </w:r>
          </w:p>
        </w:tc>
      </w:tr>
      <w:tr w:rsidR="0086297F" w:rsidRPr="007A194C" w14:paraId="17633947" w14:textId="77777777" w:rsidTr="002665C6">
        <w:trPr>
          <w:jc w:val="center"/>
        </w:trPr>
        <w:tc>
          <w:tcPr>
            <w:tcW w:w="1650" w:type="pct"/>
            <w:vAlign w:val="center"/>
          </w:tcPr>
          <w:p w14:paraId="44721053"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Sesso (legato alle analisi antropologiche)</w:t>
            </w:r>
          </w:p>
        </w:tc>
        <w:tc>
          <w:tcPr>
            <w:tcW w:w="3350" w:type="pct"/>
            <w:vAlign w:val="center"/>
          </w:tcPr>
          <w:p w14:paraId="66E918A4" w14:textId="50197FF0" w:rsidR="0086297F" w:rsidRPr="007A194C" w:rsidRDefault="0086297F" w:rsidP="002665C6">
            <w:pPr>
              <w:jc w:val="center"/>
              <w:rPr>
                <w:rFonts w:ascii="Titillium Web" w:hAnsi="Titillium Web"/>
                <w:szCs w:val="24"/>
              </w:rPr>
            </w:pPr>
            <w:r w:rsidRPr="007A194C">
              <w:rPr>
                <w:rFonts w:ascii="Titillium Web" w:hAnsi="Titillium Web"/>
                <w:szCs w:val="24"/>
              </w:rPr>
              <w:t>Non determinabile</w:t>
            </w:r>
          </w:p>
        </w:tc>
      </w:tr>
      <w:tr w:rsidR="0086297F" w:rsidRPr="007A194C" w14:paraId="0588946D" w14:textId="77777777" w:rsidTr="002665C6">
        <w:trPr>
          <w:jc w:val="center"/>
        </w:trPr>
        <w:tc>
          <w:tcPr>
            <w:tcW w:w="1650" w:type="pct"/>
            <w:vAlign w:val="center"/>
          </w:tcPr>
          <w:p w14:paraId="54990945"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Classi di età</w:t>
            </w:r>
          </w:p>
        </w:tc>
        <w:tc>
          <w:tcPr>
            <w:tcW w:w="3350" w:type="pct"/>
            <w:vAlign w:val="center"/>
          </w:tcPr>
          <w:p w14:paraId="0E0589EA" w14:textId="7D4DF825" w:rsidR="0086297F" w:rsidRPr="007A194C" w:rsidRDefault="0086297F" w:rsidP="002665C6">
            <w:pPr>
              <w:jc w:val="center"/>
              <w:rPr>
                <w:rFonts w:ascii="Titillium Web" w:hAnsi="Titillium Web"/>
                <w:szCs w:val="24"/>
              </w:rPr>
            </w:pPr>
            <w:r w:rsidRPr="007A194C">
              <w:rPr>
                <w:rFonts w:ascii="Titillium Web" w:hAnsi="Titillium Web"/>
                <w:szCs w:val="24"/>
              </w:rPr>
              <w:t>Adulto</w:t>
            </w:r>
          </w:p>
        </w:tc>
      </w:tr>
      <w:tr w:rsidR="0086297F" w:rsidRPr="007A194C" w14:paraId="1FFA88A1" w14:textId="77777777" w:rsidTr="002665C6">
        <w:trPr>
          <w:jc w:val="center"/>
        </w:trPr>
        <w:tc>
          <w:tcPr>
            <w:tcW w:w="1650" w:type="pct"/>
            <w:vAlign w:val="center"/>
          </w:tcPr>
          <w:p w14:paraId="63B2D8D6" w14:textId="77777777" w:rsidR="0086297F" w:rsidRPr="007A194C" w:rsidRDefault="0086297F" w:rsidP="002665C6">
            <w:pPr>
              <w:jc w:val="center"/>
              <w:rPr>
                <w:rFonts w:ascii="Titillium Web" w:hAnsi="Titillium Web"/>
                <w:smallCaps/>
                <w:szCs w:val="24"/>
              </w:rPr>
            </w:pPr>
            <w:r w:rsidRPr="007A194C">
              <w:rPr>
                <w:rFonts w:ascii="Titillium Web" w:hAnsi="Titillium Web"/>
                <w:smallCaps/>
                <w:szCs w:val="24"/>
              </w:rPr>
              <w:t>Bibliografia essenziale</w:t>
            </w:r>
          </w:p>
        </w:tc>
        <w:tc>
          <w:tcPr>
            <w:tcW w:w="3350" w:type="pct"/>
            <w:vAlign w:val="center"/>
          </w:tcPr>
          <w:p w14:paraId="49FE5E7A" w14:textId="77777777" w:rsidR="00D45AE1" w:rsidRPr="007A194C" w:rsidRDefault="00950C9E" w:rsidP="007A194C">
            <w:pPr>
              <w:jc w:val="center"/>
              <w:rPr>
                <w:rFonts w:ascii="Titillium Web" w:hAnsi="Titillium Web"/>
                <w:szCs w:val="24"/>
              </w:rPr>
            </w:pPr>
            <w:r w:rsidRPr="007A194C">
              <w:rPr>
                <w:rFonts w:ascii="Titillium Web" w:eastAsia="Titillium" w:hAnsi="Titillium Web" w:cs="Titillium"/>
                <w:smallCaps/>
                <w:szCs w:val="24"/>
              </w:rPr>
              <w:t>Berti</w:t>
            </w:r>
            <w:r w:rsidRPr="007A194C">
              <w:rPr>
                <w:rFonts w:ascii="Titillium Web" w:eastAsia="Titillium" w:hAnsi="Titillium Web" w:cs="Titillium"/>
                <w:szCs w:val="24"/>
              </w:rPr>
              <w:t xml:space="preserve"> 1993, p. 41; </w:t>
            </w:r>
            <w:r w:rsidRPr="007A194C">
              <w:rPr>
                <w:rFonts w:ascii="Titillium Web" w:eastAsia="Titillium" w:hAnsi="Titillium Web" w:cs="Titillium"/>
                <w:smallCaps/>
                <w:szCs w:val="24"/>
              </w:rPr>
              <w:t>Guzzo</w:t>
            </w:r>
            <w:r w:rsidRPr="007A194C">
              <w:rPr>
                <w:rFonts w:ascii="Titillium Web" w:eastAsia="Titillium" w:hAnsi="Titillium Web" w:cs="Titillium"/>
                <w:szCs w:val="24"/>
              </w:rPr>
              <w:t xml:space="preserve"> 1993, p. 224, nota 24; </w:t>
            </w:r>
            <w:r w:rsidRPr="007A194C">
              <w:rPr>
                <w:rFonts w:ascii="Titillium Web" w:eastAsia="Titillium" w:hAnsi="Titillium Web" w:cs="Titillium"/>
                <w:smallCaps/>
                <w:szCs w:val="24"/>
              </w:rPr>
              <w:t>Timossi</w:t>
            </w:r>
            <w:r w:rsidRPr="007A194C">
              <w:rPr>
                <w:rFonts w:ascii="Titillium Web" w:eastAsia="Titillium" w:hAnsi="Titillium Web" w:cs="Titillium"/>
                <w:szCs w:val="24"/>
              </w:rPr>
              <w:t xml:space="preserve"> 2019</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72AF4"/>
    <w:rsid w:val="00551AF8"/>
    <w:rsid w:val="005B5AFF"/>
    <w:rsid w:val="006162A4"/>
    <w:rsid w:val="006346F7"/>
    <w:rsid w:val="006A308A"/>
    <w:rsid w:val="006D6EFB"/>
    <w:rsid w:val="007145BC"/>
    <w:rsid w:val="007A194C"/>
    <w:rsid w:val="0086297F"/>
    <w:rsid w:val="009E4922"/>
    <w:rsid w:val="00AB321D"/>
    <w:rsid w:val="00B165C4"/>
    <w:rsid w:val="00C21EE0"/>
    <w:rsid w:val="00D45AE1"/>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2026-05-13T21:13:00Z</dcterms:modified>
</cp:coreProperties>
</file>