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F0E95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F0E9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EF0E95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F0E9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F0E95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F0E9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EF0E95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F0E9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EF0E95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F0E9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1,50 m</w:t>
            </w:r>
          </w:p>
        </w:tc>
      </w:tr>
      <w:tr w:rsidR="001B5504" w:rsidRPr="00EF0E95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F0E9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F0E95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935D89" w:rsidR="001B5504" w:rsidRPr="00EF0E95" w:rsidRDefault="009F200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F0E95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6781901" w:rsidR="001B5504" w:rsidRPr="00EF0E95" w:rsidRDefault="009F200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F0E95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F0E95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4D63F90D" w14:textId="77777777" w:rsidR="009F2007" w:rsidRPr="00EF0E95" w:rsidRDefault="009F2007" w:rsidP="009F2007">
            <w:pPr>
              <w:rPr>
                <w:rFonts w:ascii="Titillium Web" w:hAnsi="Titillium Web" w:cs="Times New Roman"/>
                <w:szCs w:val="24"/>
              </w:rPr>
            </w:pPr>
            <w:r w:rsidRPr="00EF0E95">
              <w:rPr>
                <w:rFonts w:ascii="Titillium Web" w:hAnsi="Titillium Web" w:cs="Times New Roman"/>
                <w:szCs w:val="24"/>
              </w:rPr>
              <w:t>111 tomba – &lt; a cremazione &gt;</w:t>
            </w:r>
          </w:p>
          <w:p w14:paraId="0F565100" w14:textId="4587AE5F" w:rsidR="009F2007" w:rsidRPr="00EF0E95" w:rsidRDefault="009F2007" w:rsidP="009F200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0E95">
              <w:rPr>
                <w:rFonts w:ascii="Titillium Web" w:hAnsi="Titillium Web" w:cs="Times New Roman"/>
                <w:i/>
                <w:iCs/>
                <w:szCs w:val="24"/>
              </w:rPr>
              <w:t xml:space="preserve">A m. 20 a sud del frumento e a m. 10 da lev. </w:t>
            </w:r>
            <w:r w:rsidRPr="00EF0E95">
              <w:rPr>
                <w:rFonts w:ascii="Titillium Web" w:hAnsi="Titillium Web" w:cs="Times New Roman"/>
                <w:i/>
                <w:iCs/>
                <w:strike/>
                <w:szCs w:val="24"/>
              </w:rPr>
              <w:t xml:space="preserve">del dosso </w:t>
            </w:r>
            <w:r w:rsidRPr="00EF0E95">
              <w:rPr>
                <w:rFonts w:ascii="Titillium Web" w:hAnsi="Titillium Web" w:cs="Times New Roman"/>
                <w:i/>
                <w:iCs/>
                <w:szCs w:val="24"/>
              </w:rPr>
              <w:t xml:space="preserve">dell’asse del dosso poggia </w:t>
            </w:r>
            <w:r w:rsidRPr="00EF0E9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grande dolio</w:t>
            </w:r>
            <w:r w:rsidRPr="00EF0E95">
              <w:rPr>
                <w:rFonts w:ascii="Titillium Web" w:hAnsi="Titillium Web" w:cs="Times New Roman"/>
                <w:i/>
                <w:iCs/>
                <w:szCs w:val="24"/>
              </w:rPr>
              <w:t xml:space="preserve"> alla profondità di m. 1,50</w:t>
            </w:r>
          </w:p>
          <w:p w14:paraId="7D6E2857" w14:textId="77777777" w:rsidR="009F2007" w:rsidRPr="00EF0E95" w:rsidRDefault="009F2007" w:rsidP="009F200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0E95">
              <w:rPr>
                <w:rFonts w:ascii="Titillium Web" w:hAnsi="Titillium Web" w:cs="Times New Roman"/>
                <w:i/>
                <w:iCs/>
                <w:szCs w:val="24"/>
              </w:rPr>
              <w:t xml:space="preserve">Il dolio è di impasto rozzo e grossolano, male cotto, è fragilissimo e frantumato. </w:t>
            </w:r>
          </w:p>
          <w:p w14:paraId="060E8C6B" w14:textId="77777777" w:rsidR="009F2007" w:rsidRPr="00EF0E95" w:rsidRDefault="009F2007" w:rsidP="009F200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0E95">
              <w:rPr>
                <w:rFonts w:ascii="Titillium Web" w:hAnsi="Titillium Web" w:cs="Times New Roman"/>
                <w:i/>
                <w:iCs/>
                <w:szCs w:val="24"/>
              </w:rPr>
              <w:t xml:space="preserve">Ha un doppio giro di cordoni rilevati sotto l’orlo e di forma panciuta. </w:t>
            </w:r>
          </w:p>
          <w:p w14:paraId="772D8D41" w14:textId="77777777" w:rsidR="009F2007" w:rsidRPr="00EF0E95" w:rsidRDefault="009F2007" w:rsidP="009F200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0E95">
              <w:rPr>
                <w:rFonts w:ascii="Titillium Web" w:hAnsi="Titillium Web" w:cs="Times New Roman"/>
                <w:i/>
                <w:iCs/>
                <w:szCs w:val="24"/>
              </w:rPr>
              <w:t>Non fu possibile raccoglierlo per intero, perché in parte marcito dall’acqua che in questa località scaturisce dai 30 ai 40 centimetri di profondità dal piano; se ne raccolsero 2 frammenti grandi di parete per studiarne la fattura e per i confronti di materiale.</w:t>
            </w:r>
          </w:p>
          <w:p w14:paraId="2990F325" w14:textId="77777777" w:rsidR="009F2007" w:rsidRPr="00EF0E95" w:rsidRDefault="009F2007" w:rsidP="009F200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0E95">
              <w:rPr>
                <w:rFonts w:ascii="Titillium Web" w:hAnsi="Titillium Web" w:cs="Times New Roman"/>
                <w:i/>
                <w:iCs/>
                <w:szCs w:val="24"/>
              </w:rPr>
              <w:t>Fra le ceneri combuste:</w:t>
            </w:r>
          </w:p>
          <w:p w14:paraId="38CCA816" w14:textId="77777777" w:rsidR="009F2007" w:rsidRPr="00EF0E95" w:rsidRDefault="009F2007" w:rsidP="009F200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0E9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grano d’ambra</w:t>
            </w:r>
            <w:r w:rsidRPr="00EF0E95">
              <w:rPr>
                <w:rFonts w:ascii="Titillium Web" w:hAnsi="Titillium Web" w:cs="Times New Roman"/>
                <w:i/>
                <w:iCs/>
                <w:szCs w:val="24"/>
              </w:rPr>
              <w:t xml:space="preserve"> a foro pervio</w:t>
            </w:r>
          </w:p>
          <w:p w14:paraId="1E591F13" w14:textId="77777777" w:rsidR="009F2007" w:rsidRPr="00EF0E95" w:rsidRDefault="009F2007" w:rsidP="009F200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0E9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pochi frammenti di piattelli</w:t>
            </w:r>
            <w:r w:rsidRPr="00EF0E95">
              <w:rPr>
                <w:rFonts w:ascii="Titillium Web" w:hAnsi="Titillium Web" w:cs="Times New Roman"/>
                <w:i/>
                <w:iCs/>
                <w:szCs w:val="24"/>
              </w:rPr>
              <w:t xml:space="preserve"> di terra giallognola, d’impasto locale</w:t>
            </w:r>
          </w:p>
          <w:p w14:paraId="5C09CF87" w14:textId="77777777" w:rsidR="009F2007" w:rsidRPr="00EF0E95" w:rsidRDefault="009F2007" w:rsidP="009F200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0E9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e un pezzo di ferro </w:t>
            </w:r>
            <w:r w:rsidRPr="00EF0E95">
              <w:rPr>
                <w:rFonts w:ascii="Titillium Web" w:hAnsi="Titillium Web" w:cs="Times New Roman"/>
                <w:i/>
                <w:iCs/>
                <w:szCs w:val="24"/>
              </w:rPr>
              <w:t>completamente ossidato (rotto in 2 pezzi) che per la forma caratteristica che presenta vorrei giudicarlo un pugnale -; è lungo cm 29.</w:t>
            </w:r>
          </w:p>
          <w:p w14:paraId="1A6B7E7E" w14:textId="67337995" w:rsidR="001B5504" w:rsidRPr="00EF0E95" w:rsidRDefault="009F2007" w:rsidP="009F2007">
            <w:pPr>
              <w:rPr>
                <w:rFonts w:ascii="Titillium Web" w:hAnsi="Titillium Web" w:cs="Times New Roman"/>
                <w:szCs w:val="24"/>
              </w:rPr>
            </w:pPr>
            <w:r w:rsidRPr="00EF0E95">
              <w:rPr>
                <w:rFonts w:ascii="Titillium Web" w:hAnsi="Titillium Web" w:cs="Times New Roman"/>
                <w:i/>
                <w:iCs/>
                <w:szCs w:val="24"/>
              </w:rPr>
              <w:t>(conserva ancora cementate con l’ossido di ferro, parte delle ossa umane combuste.)</w:t>
            </w:r>
          </w:p>
        </w:tc>
      </w:tr>
      <w:tr w:rsidR="001B5504" w:rsidRPr="00EF0E95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DE20086" w14:textId="77777777" w:rsidR="007E0844" w:rsidRPr="00EF0E95" w:rsidRDefault="007E0844" w:rsidP="00EF0E95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F0E95">
              <w:rPr>
                <w:rFonts w:ascii="Titillium Web" w:hAnsi="Titillium Web" w:cs="Times New Roman"/>
                <w:szCs w:val="24"/>
              </w:rPr>
              <w:t xml:space="preserve">La cremazione, rinvenuta intatta, era probabilmente deposta in un pozzetto di forma e dimensioni non registrate. I resti combusti del defunto erano conservati in un’olla verosimilmente in ceramica grezza di produzione </w:t>
            </w:r>
            <w:r w:rsidRPr="00EF0E95">
              <w:rPr>
                <w:rFonts w:ascii="Titillium Web" w:hAnsi="Titillium Web" w:cs="Times New Roman"/>
                <w:szCs w:val="24"/>
              </w:rPr>
              <w:lastRenderedPageBreak/>
              <w:t>locale e (n. 1*). All’interno del cinerario era deposto il corredo, costituito da alcuni piatti in ceramica depurata di produzione locale (nn. 2-3), un fr. di ferro di una probabile spada (n. 4) ed un vago in ambra (n. 5*). L’olla ed il vago risultano attualmente perduti.</w:t>
            </w:r>
          </w:p>
          <w:p w14:paraId="5EE32F9C" w14:textId="18E423D8" w:rsidR="001B5504" w:rsidRPr="00EF0E95" w:rsidRDefault="000B6792" w:rsidP="00EF0E95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1*. Olla di produzione locale (ceramica grezza)</w:t>
            </w:r>
            <w:r w:rsidRPr="00EF0E95">
              <w:rPr>
                <w:rFonts w:ascii="Titillium Web" w:hAnsi="Titillium Web"/>
                <w:szCs w:val="24"/>
              </w:rPr>
              <w:br/>
              <w:t>2. Piatto etrusco-padano (IG 20653; ceramica depurata)</w:t>
            </w:r>
            <w:r w:rsidRPr="00EF0E95">
              <w:rPr>
                <w:rFonts w:ascii="Titillium Web" w:hAnsi="Titillium Web"/>
                <w:szCs w:val="24"/>
              </w:rPr>
              <w:br/>
              <w:t>3. Piatto etrusco-padano (IG 20654; ceramica depurata)</w:t>
            </w:r>
            <w:r w:rsidRPr="00EF0E95">
              <w:rPr>
                <w:rFonts w:ascii="Titillium Web" w:hAnsi="Titillium Web"/>
                <w:szCs w:val="24"/>
              </w:rPr>
              <w:br/>
              <w:t>4. Spada (IG 29545; ferro)</w:t>
            </w:r>
            <w:r w:rsidRPr="00EF0E95">
              <w:rPr>
                <w:rFonts w:ascii="Titillium Web" w:hAnsi="Titillium Web"/>
                <w:szCs w:val="24"/>
              </w:rPr>
              <w:br/>
              <w:t>5*. Vago (ambra)</w:t>
            </w:r>
          </w:p>
        </w:tc>
      </w:tr>
      <w:tr w:rsidR="001B5504" w:rsidRPr="00EF0E95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271B61E" w:rsidR="001B5504" w:rsidRPr="00EF0E95" w:rsidRDefault="00950E7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EF0E95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227FBFD" w:rsidR="001B5504" w:rsidRPr="00EF0E95" w:rsidRDefault="00EF0E95" w:rsidP="00EF0E95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F0E95">
              <w:rPr>
                <w:rFonts w:ascii="Titillium Web" w:hAnsi="Titillium Web" w:cs="Times New Roman"/>
                <w:szCs w:val="24"/>
              </w:rPr>
              <w:t>Sono stati attribuiti al corredo in un secondo momento una coppia di piatti di produzione locale in ceramica grigia. Si escludono in quanto non menzionati nel GdS.</w:t>
            </w:r>
          </w:p>
        </w:tc>
      </w:tr>
      <w:tr w:rsidR="001B5504" w:rsidRPr="00EF0E95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F0E9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F0E95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F0E9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F0E95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F0E9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F0E95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F0E9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0E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F0E95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D932B84" w:rsidR="001B5504" w:rsidRPr="00EF0E95" w:rsidRDefault="00E7711D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F0E95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F0E9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E95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F0E9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B6792"/>
    <w:rsid w:val="000D72F4"/>
    <w:rsid w:val="001B5504"/>
    <w:rsid w:val="001F2833"/>
    <w:rsid w:val="0029024B"/>
    <w:rsid w:val="002977D7"/>
    <w:rsid w:val="002F1500"/>
    <w:rsid w:val="00472AF4"/>
    <w:rsid w:val="00560743"/>
    <w:rsid w:val="005B5AFF"/>
    <w:rsid w:val="0068458A"/>
    <w:rsid w:val="00710B38"/>
    <w:rsid w:val="007145BC"/>
    <w:rsid w:val="007D54CD"/>
    <w:rsid w:val="007E0844"/>
    <w:rsid w:val="00942E70"/>
    <w:rsid w:val="00943EAC"/>
    <w:rsid w:val="00950348"/>
    <w:rsid w:val="00950E77"/>
    <w:rsid w:val="00975CA9"/>
    <w:rsid w:val="00997946"/>
    <w:rsid w:val="009E4922"/>
    <w:rsid w:val="009F2007"/>
    <w:rsid w:val="00A460CA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7711D"/>
    <w:rsid w:val="00EF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customStyle="1" w:styleId="TestocommentoCarattere1">
    <w:name w:val="Testo commento Carattere1"/>
    <w:basedOn w:val="Carpredefinitoparagrafo"/>
    <w:rsid w:val="007E0844"/>
    <w:rPr>
      <w:rFonts w:eastAsia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2026-05-18T08:44:00Z</dcterms:modified>
</cp:coreProperties>
</file>