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1111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D05C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D05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5C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D05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5CD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1D05C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D05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5C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D05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5C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D05C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D05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5C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D05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5C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1D05C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D05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5C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D05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5C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1D05C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D05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5C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D05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5CD">
              <w:rPr>
                <w:rFonts w:ascii="Titillium Web" w:hAnsi="Titillium Web"/>
                <w:szCs w:val="24"/>
              </w:rPr>
              <w:t>0,98 m</w:t>
            </w:r>
          </w:p>
        </w:tc>
      </w:tr>
      <w:tr w:rsidR="0086297F" w:rsidRPr="001D05C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D05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5C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D05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5C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D05C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D05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5C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D05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5C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D05C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D05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5C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D05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5C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D05C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D05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5C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8C7C34B" w14:textId="77777777" w:rsidR="00355466" w:rsidRPr="001D05CD" w:rsidRDefault="00785D6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05CD">
              <w:rPr>
                <w:rFonts w:ascii="Titillium Web" w:hAnsi="Titillium Web"/>
                <w:i/>
                <w:iCs/>
                <w:szCs w:val="24"/>
              </w:rPr>
              <w:t>Tomba 1111 a cremazione</w:t>
            </w:r>
          </w:p>
          <w:p w14:paraId="429BE505" w14:textId="77777777" w:rsidR="00355466" w:rsidRPr="001D05CD" w:rsidRDefault="00785D6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05CD">
              <w:rPr>
                <w:rFonts w:ascii="Titillium Web" w:hAnsi="Titillium Web"/>
                <w:i/>
                <w:iCs/>
                <w:szCs w:val="24"/>
              </w:rPr>
              <w:t>A m 14 a lev. della cardinale tracciata a m 147 a lev. del B, a m 10,80 a sud del decumano tracciato a m 237 a nord della provinciale, e a m 0,98 di profondità si rinviene</w:t>
            </w:r>
          </w:p>
          <w:p w14:paraId="71ADC34F" w14:textId="77777777" w:rsidR="00355466" w:rsidRPr="001D05CD" w:rsidRDefault="00785D6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05CD">
              <w:rPr>
                <w:rFonts w:ascii="Titillium Web" w:hAnsi="Titillium Web"/>
                <w:i/>
                <w:iCs/>
                <w:szCs w:val="24"/>
              </w:rPr>
              <w:t>1 dolio di media grandezza, di forma piuttosto sferoidale, di argilla cenere bruno, completamente marcito (è grezzo)</w:t>
            </w:r>
          </w:p>
          <w:p w14:paraId="322AAD61" w14:textId="77777777" w:rsidR="00355466" w:rsidRPr="001D05CD" w:rsidRDefault="00785D6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05CD">
              <w:rPr>
                <w:rFonts w:ascii="Titillium Web" w:hAnsi="Titillium Web"/>
                <w:i/>
                <w:iCs/>
                <w:szCs w:val="24"/>
              </w:rPr>
              <w:t>entro al dolio si rinvennero:</w:t>
            </w:r>
          </w:p>
          <w:p w14:paraId="2A4A297F" w14:textId="77777777" w:rsidR="00355466" w:rsidRPr="001D05CD" w:rsidRDefault="00785D6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05CD">
              <w:rPr>
                <w:rFonts w:ascii="Titillium Web" w:hAnsi="Titillium Web"/>
                <w:i/>
                <w:iCs/>
                <w:szCs w:val="24"/>
              </w:rPr>
              <w:t>2 oinochoai di forma ovoidale, con bocca trilobata e a vernice nera: uno è in frammenti e l’altro è intero.</w:t>
            </w:r>
          </w:p>
          <w:p w14:paraId="7A26BD02" w14:textId="77777777" w:rsidR="00355466" w:rsidRPr="001D05CD" w:rsidRDefault="00785D6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05CD">
              <w:rPr>
                <w:rFonts w:ascii="Titillium Web" w:hAnsi="Titillium Web"/>
                <w:i/>
                <w:iCs/>
                <w:szCs w:val="24"/>
              </w:rPr>
              <w:t>In fondo al dolio erano le ceneri delle ossa combuste</w:t>
            </w:r>
          </w:p>
        </w:tc>
      </w:tr>
      <w:tr w:rsidR="0086297F" w:rsidRPr="001D05C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D05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5C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D05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5CD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1D05C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D05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5C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D05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5C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D05C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D05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5C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D05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5C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D05C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D05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5C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D05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05C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D05C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D05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05C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B2DE7B1" w14:textId="77777777" w:rsidR="00355466" w:rsidRPr="001D05CD" w:rsidRDefault="00785D6F" w:rsidP="001D05CD">
            <w:pPr>
              <w:jc w:val="center"/>
              <w:rPr>
                <w:rFonts w:ascii="Titillium Web" w:hAnsi="Titillium Web"/>
                <w:szCs w:val="24"/>
              </w:rPr>
            </w:pPr>
            <w:r w:rsidRPr="001D05CD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1D05CD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D05CD"/>
    <w:rsid w:val="00213D92"/>
    <w:rsid w:val="002977D7"/>
    <w:rsid w:val="00355466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2026-05-13T21:11:00Z</dcterms:modified>
</cp:coreProperties>
</file>