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1118</w:t>
      </w:r>
    </w:p>
    <w:tbl>
      <w:tblPr>
        <w:tblStyle w:val="Grigliatabella"/>
        <w:tblW w:w="5000" w:type="pct"/>
        <w:jc w:val="center"/>
        <w:tblLook w:val="04A0" w:firstRow="1" w:lastRow="0" w:firstColumn="1" w:lastColumn="0" w:noHBand="0" w:noVBand="1"/>
      </w:tblPr>
      <w:tblGrid>
        <w:gridCol w:w="2990"/>
        <w:gridCol w:w="6070"/>
      </w:tblGrid>
      <w:tr w:rsidR="0086297F" w:rsidRPr="00DF0C0B" w14:paraId="69604347" w14:textId="77777777" w:rsidTr="002665C6">
        <w:trPr>
          <w:jc w:val="center"/>
        </w:trPr>
        <w:tc>
          <w:tcPr>
            <w:tcW w:w="1650" w:type="pct"/>
            <w:vAlign w:val="center"/>
          </w:tcPr>
          <w:p w14:paraId="59258D49"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Anno di rinvenimento</w:t>
            </w:r>
          </w:p>
        </w:tc>
        <w:tc>
          <w:tcPr>
            <w:tcW w:w="3350" w:type="pct"/>
            <w:vAlign w:val="center"/>
          </w:tcPr>
          <w:p w14:paraId="10AA1E7C" w14:textId="59BFE2EE" w:rsidR="0086297F" w:rsidRPr="00DF0C0B" w:rsidRDefault="0086297F" w:rsidP="002665C6">
            <w:pPr>
              <w:jc w:val="center"/>
              <w:rPr>
                <w:rFonts w:ascii="Titillium Web" w:hAnsi="Titillium Web"/>
                <w:szCs w:val="24"/>
              </w:rPr>
            </w:pPr>
            <w:r w:rsidRPr="00DF0C0B">
              <w:rPr>
                <w:rFonts w:ascii="Titillium Web" w:hAnsi="Titillium Web"/>
                <w:szCs w:val="24"/>
              </w:rPr>
              <w:t>1930</w:t>
            </w:r>
          </w:p>
        </w:tc>
      </w:tr>
      <w:tr w:rsidR="0086297F" w:rsidRPr="00DF0C0B" w14:paraId="3B6B9C62" w14:textId="77777777" w:rsidTr="002665C6">
        <w:trPr>
          <w:jc w:val="center"/>
        </w:trPr>
        <w:tc>
          <w:tcPr>
            <w:tcW w:w="1650" w:type="pct"/>
            <w:vAlign w:val="center"/>
          </w:tcPr>
          <w:p w14:paraId="2D01D888"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Stato di conservazione della tomba</w:t>
            </w:r>
          </w:p>
        </w:tc>
        <w:tc>
          <w:tcPr>
            <w:tcW w:w="3350" w:type="pct"/>
            <w:vAlign w:val="center"/>
          </w:tcPr>
          <w:p w14:paraId="3ADC95CD" w14:textId="31719CCD" w:rsidR="0086297F" w:rsidRPr="00DF0C0B" w:rsidRDefault="0086297F" w:rsidP="002665C6">
            <w:pPr>
              <w:jc w:val="center"/>
              <w:rPr>
                <w:rFonts w:ascii="Titillium Web" w:hAnsi="Titillium Web"/>
                <w:szCs w:val="24"/>
              </w:rPr>
            </w:pPr>
            <w:r w:rsidRPr="00DF0C0B">
              <w:rPr>
                <w:rFonts w:ascii="Titillium Web" w:hAnsi="Titillium Web"/>
                <w:szCs w:val="24"/>
              </w:rPr>
              <w:t>Intatta</w:t>
            </w:r>
          </w:p>
        </w:tc>
      </w:tr>
      <w:tr w:rsidR="0086297F" w:rsidRPr="00DF0C0B" w14:paraId="3D165E1E" w14:textId="77777777" w:rsidTr="002665C6">
        <w:trPr>
          <w:jc w:val="center"/>
        </w:trPr>
        <w:tc>
          <w:tcPr>
            <w:tcW w:w="1650" w:type="pct"/>
            <w:vAlign w:val="center"/>
          </w:tcPr>
          <w:p w14:paraId="2A5B3D4F"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Rito di seppellimento</w:t>
            </w:r>
          </w:p>
        </w:tc>
        <w:tc>
          <w:tcPr>
            <w:tcW w:w="3350" w:type="pct"/>
            <w:vAlign w:val="center"/>
          </w:tcPr>
          <w:p w14:paraId="094BD426" w14:textId="6E99443A" w:rsidR="0086297F" w:rsidRPr="00DF0C0B" w:rsidRDefault="0086297F" w:rsidP="002665C6">
            <w:pPr>
              <w:jc w:val="center"/>
              <w:rPr>
                <w:rFonts w:ascii="Titillium Web" w:hAnsi="Titillium Web"/>
                <w:szCs w:val="24"/>
              </w:rPr>
            </w:pPr>
            <w:r w:rsidRPr="00DF0C0B">
              <w:rPr>
                <w:rFonts w:ascii="Titillium Web" w:hAnsi="Titillium Web"/>
                <w:szCs w:val="24"/>
              </w:rPr>
              <w:t>Inumazione</w:t>
            </w:r>
          </w:p>
        </w:tc>
      </w:tr>
      <w:tr w:rsidR="0086297F" w:rsidRPr="00DF0C0B" w14:paraId="44CADBCB" w14:textId="77777777" w:rsidTr="002665C6">
        <w:trPr>
          <w:jc w:val="center"/>
        </w:trPr>
        <w:tc>
          <w:tcPr>
            <w:tcW w:w="1650" w:type="pct"/>
            <w:vAlign w:val="center"/>
          </w:tcPr>
          <w:p w14:paraId="1E25741A"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Struttura tomba</w:t>
            </w:r>
          </w:p>
        </w:tc>
        <w:tc>
          <w:tcPr>
            <w:tcW w:w="3350" w:type="pct"/>
            <w:vAlign w:val="center"/>
          </w:tcPr>
          <w:p w14:paraId="1DE3BCB3" w14:textId="08DB6A85" w:rsidR="0086297F" w:rsidRPr="00DF0C0B" w:rsidRDefault="0086297F" w:rsidP="002665C6">
            <w:pPr>
              <w:jc w:val="center"/>
              <w:rPr>
                <w:rFonts w:ascii="Titillium Web" w:hAnsi="Titillium Web"/>
                <w:szCs w:val="24"/>
              </w:rPr>
            </w:pPr>
            <w:r w:rsidRPr="00DF0C0B">
              <w:rPr>
                <w:rFonts w:ascii="Titillium Web" w:hAnsi="Titillium Web"/>
                <w:szCs w:val="24"/>
              </w:rPr>
              <w:t>fossa con cassone ligneo</w:t>
            </w:r>
          </w:p>
        </w:tc>
      </w:tr>
      <w:tr w:rsidR="0086297F" w:rsidRPr="00DF0C0B" w14:paraId="47E1F943" w14:textId="77777777" w:rsidTr="002665C6">
        <w:trPr>
          <w:jc w:val="center"/>
        </w:trPr>
        <w:tc>
          <w:tcPr>
            <w:tcW w:w="1650" w:type="pct"/>
            <w:vAlign w:val="center"/>
          </w:tcPr>
          <w:p w14:paraId="355EE080"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 xml:space="preserve">Profondità dal piano di campagna </w:t>
            </w:r>
          </w:p>
        </w:tc>
        <w:tc>
          <w:tcPr>
            <w:tcW w:w="3350" w:type="pct"/>
            <w:vAlign w:val="center"/>
          </w:tcPr>
          <w:p w14:paraId="13D75B9B" w14:textId="6492371F" w:rsidR="0086297F" w:rsidRPr="00DF0C0B" w:rsidRDefault="0086297F" w:rsidP="002665C6">
            <w:pPr>
              <w:jc w:val="center"/>
              <w:rPr>
                <w:rFonts w:ascii="Titillium Web" w:hAnsi="Titillium Web"/>
                <w:szCs w:val="24"/>
              </w:rPr>
            </w:pPr>
            <w:r w:rsidRPr="00DF0C0B">
              <w:rPr>
                <w:rFonts w:ascii="Titillium Web" w:hAnsi="Titillium Web"/>
                <w:szCs w:val="24"/>
              </w:rPr>
              <w:t>1,3 m</w:t>
            </w:r>
          </w:p>
        </w:tc>
      </w:tr>
      <w:tr w:rsidR="0086297F" w:rsidRPr="00DF0C0B" w14:paraId="75BC79FE" w14:textId="77777777" w:rsidTr="002665C6">
        <w:trPr>
          <w:jc w:val="center"/>
        </w:trPr>
        <w:tc>
          <w:tcPr>
            <w:tcW w:w="1650" w:type="pct"/>
            <w:vAlign w:val="center"/>
          </w:tcPr>
          <w:p w14:paraId="432462C5"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Dimensioni della sepoltura</w:t>
            </w:r>
          </w:p>
        </w:tc>
        <w:tc>
          <w:tcPr>
            <w:tcW w:w="3350" w:type="pct"/>
            <w:vAlign w:val="center"/>
          </w:tcPr>
          <w:p w14:paraId="65EDFAD4" w14:textId="5859930D" w:rsidR="0086297F" w:rsidRPr="00DF0C0B" w:rsidRDefault="0086297F" w:rsidP="002665C6">
            <w:pPr>
              <w:jc w:val="center"/>
              <w:rPr>
                <w:rFonts w:ascii="Titillium Web" w:hAnsi="Titillium Web"/>
                <w:szCs w:val="24"/>
              </w:rPr>
            </w:pPr>
            <w:r w:rsidRPr="00DF0C0B">
              <w:rPr>
                <w:rFonts w:ascii="Titillium Web" w:hAnsi="Titillium Web"/>
                <w:szCs w:val="24"/>
              </w:rPr>
              <w:t>2,05x0,45</w:t>
            </w:r>
          </w:p>
        </w:tc>
      </w:tr>
      <w:tr w:rsidR="0086297F" w:rsidRPr="00DF0C0B" w14:paraId="35E5C09E" w14:textId="77777777" w:rsidTr="002665C6">
        <w:trPr>
          <w:jc w:val="center"/>
        </w:trPr>
        <w:tc>
          <w:tcPr>
            <w:tcW w:w="1650" w:type="pct"/>
            <w:vAlign w:val="center"/>
          </w:tcPr>
          <w:p w14:paraId="5AA10374"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Orientamento dello scheletro</w:t>
            </w:r>
          </w:p>
        </w:tc>
        <w:tc>
          <w:tcPr>
            <w:tcW w:w="3350" w:type="pct"/>
            <w:vAlign w:val="center"/>
          </w:tcPr>
          <w:p w14:paraId="6E0E4E7B" w14:textId="7F6B3E0C" w:rsidR="0086297F" w:rsidRPr="00DF0C0B" w:rsidRDefault="0086297F" w:rsidP="002665C6">
            <w:pPr>
              <w:jc w:val="center"/>
              <w:rPr>
                <w:rFonts w:ascii="Titillium Web" w:hAnsi="Titillium Web"/>
                <w:szCs w:val="24"/>
              </w:rPr>
            </w:pPr>
            <w:r w:rsidRPr="00DF0C0B">
              <w:rPr>
                <w:rFonts w:ascii="Titillium Web" w:hAnsi="Titillium Web"/>
                <w:szCs w:val="24"/>
              </w:rPr>
              <w:t>NW-SE</w:t>
            </w:r>
          </w:p>
        </w:tc>
      </w:tr>
      <w:tr w:rsidR="0086297F" w:rsidRPr="00DF0C0B" w14:paraId="71236441" w14:textId="77777777" w:rsidTr="002665C6">
        <w:trPr>
          <w:jc w:val="center"/>
        </w:trPr>
        <w:tc>
          <w:tcPr>
            <w:tcW w:w="1650" w:type="pct"/>
            <w:vAlign w:val="center"/>
          </w:tcPr>
          <w:p w14:paraId="4A1B31A8"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Segnacolo</w:t>
            </w:r>
          </w:p>
        </w:tc>
        <w:tc>
          <w:tcPr>
            <w:tcW w:w="3350" w:type="pct"/>
            <w:vAlign w:val="center"/>
          </w:tcPr>
          <w:p w14:paraId="104CE615" w14:textId="50385AE1" w:rsidR="0086297F" w:rsidRPr="00DF0C0B" w:rsidRDefault="0086297F" w:rsidP="002665C6">
            <w:pPr>
              <w:jc w:val="center"/>
              <w:rPr>
                <w:rFonts w:ascii="Titillium Web" w:hAnsi="Titillium Web"/>
                <w:szCs w:val="24"/>
              </w:rPr>
            </w:pPr>
            <w:r w:rsidRPr="00DF0C0B">
              <w:rPr>
                <w:rFonts w:ascii="Titillium Web" w:hAnsi="Titillium Web"/>
                <w:szCs w:val="24"/>
              </w:rPr>
              <w:t>/</w:t>
            </w:r>
          </w:p>
        </w:tc>
      </w:tr>
      <w:tr w:rsidR="0086297F" w:rsidRPr="00DF0C0B" w14:paraId="6D6CBA71" w14:textId="77777777" w:rsidTr="002665C6">
        <w:trPr>
          <w:jc w:val="center"/>
        </w:trPr>
        <w:tc>
          <w:tcPr>
            <w:tcW w:w="1650" w:type="pct"/>
            <w:vAlign w:val="center"/>
          </w:tcPr>
          <w:p w14:paraId="75CA0D64"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Giornale di scavo</w:t>
            </w:r>
          </w:p>
        </w:tc>
        <w:tc>
          <w:tcPr>
            <w:tcW w:w="3350" w:type="pct"/>
            <w:vAlign w:val="center"/>
          </w:tcPr>
          <w:p w14:paraId="52AD7C64" w14:textId="77777777" w:rsidR="00A14CA0" w:rsidRPr="00B53DD8" w:rsidRDefault="00A14CA0" w:rsidP="00A14CA0">
            <w:pPr>
              <w:rPr>
                <w:rFonts w:ascii="Titillium Web" w:hAnsi="Titillium Web"/>
                <w:i/>
                <w:iCs/>
                <w:szCs w:val="24"/>
              </w:rPr>
            </w:pPr>
            <w:r w:rsidRPr="00B53DD8">
              <w:rPr>
                <w:rFonts w:ascii="Titillium Web" w:hAnsi="Titillium Web"/>
                <w:i/>
                <w:iCs/>
                <w:szCs w:val="24"/>
              </w:rPr>
              <w:t xml:space="preserve">Tomba 1118 a umazione </w:t>
            </w:r>
          </w:p>
          <w:p w14:paraId="6489E370" w14:textId="77777777" w:rsidR="00A14CA0" w:rsidRPr="00B53DD8" w:rsidRDefault="00A14CA0" w:rsidP="00A14CA0">
            <w:pPr>
              <w:rPr>
                <w:rFonts w:ascii="Titillium Web" w:hAnsi="Titillium Web"/>
                <w:i/>
                <w:iCs/>
                <w:szCs w:val="24"/>
              </w:rPr>
            </w:pPr>
            <w:r w:rsidRPr="00B53DD8">
              <w:rPr>
                <w:rFonts w:ascii="Titillium Web" w:hAnsi="Titillium Web"/>
                <w:i/>
                <w:iCs/>
                <w:szCs w:val="24"/>
              </w:rPr>
              <w:t>con cassa di legno</w:t>
            </w:r>
          </w:p>
          <w:p w14:paraId="18E73B19" w14:textId="77777777" w:rsidR="00A14CA0" w:rsidRPr="00B53DD8" w:rsidRDefault="00A14CA0" w:rsidP="00A14CA0">
            <w:pPr>
              <w:rPr>
                <w:rFonts w:ascii="Titillium Web" w:hAnsi="Titillium Web"/>
                <w:i/>
                <w:iCs/>
                <w:szCs w:val="24"/>
              </w:rPr>
            </w:pPr>
            <w:r w:rsidRPr="00B53DD8">
              <w:rPr>
                <w:rFonts w:ascii="Titillium Web" w:hAnsi="Titillium Web"/>
                <w:i/>
                <w:iCs/>
                <w:szCs w:val="24"/>
              </w:rPr>
              <w:t xml:space="preserve">A m 31 a levante della cardinale, a m 11,30 a sud del decumano, tracciati il 23 giugno corr., ove i punti delle misurazioni si incrociano è il centro di una tomba a </w:t>
            </w:r>
            <w:proofErr w:type="gramStart"/>
            <w:r w:rsidRPr="00B53DD8">
              <w:rPr>
                <w:rFonts w:ascii="Titillium Web" w:hAnsi="Titillium Web"/>
                <w:i/>
                <w:iCs/>
                <w:szCs w:val="24"/>
              </w:rPr>
              <w:t>umazione</w:t>
            </w:r>
            <w:proofErr w:type="gramEnd"/>
            <w:r w:rsidRPr="00B53DD8">
              <w:rPr>
                <w:rFonts w:ascii="Titillium Web" w:hAnsi="Titillium Web"/>
                <w:i/>
                <w:iCs/>
                <w:szCs w:val="24"/>
              </w:rPr>
              <w:t xml:space="preserve"> la quale poggia a m 1,30 dal piano di campagna.</w:t>
            </w:r>
          </w:p>
          <w:p w14:paraId="79D2E7C6" w14:textId="77777777" w:rsidR="00A14CA0" w:rsidRPr="00B53DD8" w:rsidRDefault="00A14CA0" w:rsidP="00A14CA0">
            <w:pPr>
              <w:rPr>
                <w:rFonts w:ascii="Titillium Web" w:hAnsi="Titillium Web"/>
                <w:i/>
                <w:iCs/>
                <w:szCs w:val="24"/>
              </w:rPr>
            </w:pPr>
            <w:r w:rsidRPr="00B53DD8">
              <w:rPr>
                <w:rFonts w:ascii="Titillium Web" w:hAnsi="Titillium Web"/>
                <w:i/>
                <w:iCs/>
                <w:szCs w:val="24"/>
              </w:rPr>
              <w:t>La misura è presa sulle pelvi dello scheletro</w:t>
            </w:r>
          </w:p>
          <w:p w14:paraId="2B1291E3" w14:textId="77777777" w:rsidR="00A14CA0" w:rsidRPr="00B53DD8" w:rsidRDefault="00A14CA0" w:rsidP="00A14CA0">
            <w:pPr>
              <w:rPr>
                <w:rFonts w:ascii="Titillium Web" w:hAnsi="Titillium Web"/>
                <w:i/>
                <w:iCs/>
                <w:szCs w:val="24"/>
              </w:rPr>
            </w:pPr>
            <w:r w:rsidRPr="00B53DD8">
              <w:rPr>
                <w:rFonts w:ascii="Titillium Web" w:hAnsi="Titillium Web"/>
                <w:i/>
                <w:iCs/>
                <w:szCs w:val="24"/>
              </w:rPr>
              <w:t>Lo scheletro era in cassa poiché a m 0,45 sopra lo scheletro si notò nella sezione di scavo una linea orizzontale della lunghezza di m 2,05 di un colore marrone nerastro, con tracce tenerissime di materie legnose (il coperchio della cassa) e all’estremità ovest di questa linea si raccolse</w:t>
            </w:r>
          </w:p>
          <w:p w14:paraId="02738E28" w14:textId="77777777" w:rsidR="00A14CA0" w:rsidRPr="00B53DD8" w:rsidRDefault="00A14CA0" w:rsidP="00A14CA0">
            <w:pPr>
              <w:rPr>
                <w:rFonts w:ascii="Titillium Web" w:hAnsi="Titillium Web"/>
                <w:i/>
                <w:iCs/>
                <w:szCs w:val="24"/>
              </w:rPr>
            </w:pPr>
            <w:r w:rsidRPr="00B53DD8">
              <w:rPr>
                <w:rFonts w:ascii="Titillium Web" w:hAnsi="Titillium Web"/>
                <w:i/>
                <w:iCs/>
                <w:szCs w:val="24"/>
              </w:rPr>
              <w:t>1 chiodo di ferro</w:t>
            </w:r>
          </w:p>
          <w:p w14:paraId="26213C18" w14:textId="77777777" w:rsidR="00A14CA0" w:rsidRPr="00B53DD8" w:rsidRDefault="00A14CA0" w:rsidP="00A14CA0">
            <w:pPr>
              <w:rPr>
                <w:rFonts w:ascii="Titillium Web" w:hAnsi="Titillium Web"/>
                <w:i/>
                <w:iCs/>
                <w:szCs w:val="24"/>
              </w:rPr>
            </w:pPr>
            <w:r w:rsidRPr="00B53DD8">
              <w:rPr>
                <w:rFonts w:ascii="Titillium Web" w:hAnsi="Titillium Web"/>
                <w:i/>
                <w:iCs/>
                <w:szCs w:val="24"/>
              </w:rPr>
              <w:t>La suddetta traccia faceva angolo retto sia a levante cha a ponente delle estremità ove essa cessava e aveva un’altezza di circa metri 0,45 ove si ricollegava al fondo della cassa, della quale fra il fango melmoso se ne riscontrarono le tracce.</w:t>
            </w:r>
          </w:p>
          <w:p w14:paraId="640B3AF6" w14:textId="77777777" w:rsidR="00A14CA0" w:rsidRPr="00B53DD8" w:rsidRDefault="00A14CA0" w:rsidP="00A14CA0">
            <w:pPr>
              <w:rPr>
                <w:rFonts w:ascii="Titillium Web" w:hAnsi="Titillium Web"/>
                <w:i/>
                <w:iCs/>
                <w:szCs w:val="24"/>
              </w:rPr>
            </w:pPr>
            <w:r w:rsidRPr="00B53DD8">
              <w:rPr>
                <w:rFonts w:ascii="Titillium Web" w:hAnsi="Titillium Web"/>
                <w:i/>
                <w:iCs/>
                <w:szCs w:val="24"/>
              </w:rPr>
              <w:t>Lo scheletro era orientato da nord-ovest a sud - est (grafi 310) ed era di persona giovane dai 25 ai 30 anni: aveva un lunghezza di m 1,55 e le ossa erano completamente marcite.</w:t>
            </w:r>
          </w:p>
          <w:p w14:paraId="1DE1E2D6" w14:textId="77777777" w:rsidR="00A14CA0" w:rsidRPr="00B53DD8" w:rsidRDefault="00A14CA0" w:rsidP="00A14CA0">
            <w:pPr>
              <w:rPr>
                <w:rFonts w:ascii="Titillium Web" w:hAnsi="Titillium Web"/>
                <w:i/>
                <w:iCs/>
                <w:szCs w:val="24"/>
              </w:rPr>
            </w:pPr>
            <w:r w:rsidRPr="00B53DD8">
              <w:rPr>
                <w:rFonts w:ascii="Titillium Web" w:hAnsi="Titillium Web"/>
                <w:i/>
                <w:iCs/>
                <w:szCs w:val="24"/>
              </w:rPr>
              <w:t>Sulla destra dello scheletro erano disposte le suppellettili.</w:t>
            </w:r>
          </w:p>
          <w:p w14:paraId="7DC7DBB1" w14:textId="77777777" w:rsidR="00A14CA0" w:rsidRPr="00B53DD8" w:rsidRDefault="00A14CA0" w:rsidP="00A14CA0">
            <w:pPr>
              <w:rPr>
                <w:rFonts w:ascii="Titillium Web" w:hAnsi="Titillium Web"/>
                <w:i/>
                <w:iCs/>
                <w:szCs w:val="24"/>
              </w:rPr>
            </w:pPr>
            <w:r w:rsidRPr="00B53DD8">
              <w:rPr>
                <w:rFonts w:ascii="Titillium Web" w:hAnsi="Titillium Web"/>
                <w:i/>
                <w:iCs/>
                <w:szCs w:val="24"/>
              </w:rPr>
              <w:t>Presso la spalla era:</w:t>
            </w:r>
          </w:p>
          <w:p w14:paraId="77441F17" w14:textId="77777777" w:rsidR="00A14CA0" w:rsidRPr="00B53DD8" w:rsidRDefault="00A14CA0" w:rsidP="00A14CA0">
            <w:pPr>
              <w:rPr>
                <w:rFonts w:ascii="Titillium Web" w:hAnsi="Titillium Web"/>
                <w:i/>
                <w:iCs/>
                <w:szCs w:val="24"/>
              </w:rPr>
            </w:pPr>
            <w:r w:rsidRPr="00B53DD8">
              <w:rPr>
                <w:rFonts w:ascii="Titillium Web" w:hAnsi="Titillium Web"/>
                <w:i/>
                <w:iCs/>
                <w:szCs w:val="24"/>
              </w:rPr>
              <w:t xml:space="preserve">1 piccolo cratere figurato, di fabbrica attica, di disegno affrettato con scene nei due lati; nella parte superiore presso l’orlo, un giro di foglie. Nel dritto scena dionisiaca con un </w:t>
            </w:r>
            <w:r w:rsidRPr="00B53DD8">
              <w:rPr>
                <w:rFonts w:ascii="Titillium Web" w:hAnsi="Titillium Web"/>
                <w:i/>
                <w:iCs/>
                <w:szCs w:val="24"/>
              </w:rPr>
              <w:lastRenderedPageBreak/>
              <w:t>giovane che, la testa coronata con edera, cammina verso destra, poggiando la sinistra sulla spalla di una donzella che suona la doppia tibia. Davanti alla copia un giovane nudo, con un leggero manto sulle spalle precede la copia voltandosi verso di loro; nella destra ha in mano o una fiaccola o un fascio di verghe e con la sinistra regge un oggetto che non so riconoscere.</w:t>
            </w:r>
          </w:p>
          <w:p w14:paraId="0B69B70F" w14:textId="77777777" w:rsidR="00A14CA0" w:rsidRPr="00B53DD8" w:rsidRDefault="00A14CA0" w:rsidP="00A14CA0">
            <w:pPr>
              <w:rPr>
                <w:rFonts w:ascii="Titillium Web" w:hAnsi="Titillium Web"/>
                <w:i/>
                <w:iCs/>
                <w:szCs w:val="24"/>
              </w:rPr>
            </w:pPr>
            <w:r w:rsidRPr="00B53DD8">
              <w:rPr>
                <w:rFonts w:ascii="Titillium Web" w:hAnsi="Titillium Web"/>
                <w:i/>
                <w:iCs/>
                <w:szCs w:val="24"/>
              </w:rPr>
              <w:t>A sinistra della copia, una colonna con capitello.</w:t>
            </w:r>
          </w:p>
          <w:p w14:paraId="71A07E1B" w14:textId="77777777" w:rsidR="00A14CA0" w:rsidRPr="00B53DD8" w:rsidRDefault="00A14CA0" w:rsidP="00A14CA0">
            <w:pPr>
              <w:rPr>
                <w:rFonts w:ascii="Titillium Web" w:hAnsi="Titillium Web"/>
                <w:i/>
                <w:iCs/>
                <w:szCs w:val="24"/>
              </w:rPr>
            </w:pPr>
            <w:r w:rsidRPr="00B53DD8">
              <w:rPr>
                <w:rFonts w:ascii="Titillium Web" w:hAnsi="Titillium Web"/>
                <w:i/>
                <w:iCs/>
                <w:szCs w:val="24"/>
              </w:rPr>
              <w:t xml:space="preserve">Nel rovescio: due figure ammantate, di fronte. Il disegno è assai strapazzato. La vernice del vaso è assai sciupata. Il cratere è a campana e ha un’ansa staccata e delle </w:t>
            </w:r>
            <w:proofErr w:type="spellStart"/>
            <w:r w:rsidRPr="00B53DD8">
              <w:rPr>
                <w:rFonts w:ascii="Titillium Web" w:hAnsi="Titillium Web"/>
                <w:i/>
                <w:iCs/>
                <w:szCs w:val="24"/>
              </w:rPr>
              <w:t>crinature</w:t>
            </w:r>
            <w:proofErr w:type="spellEnd"/>
            <w:r w:rsidRPr="00B53DD8">
              <w:rPr>
                <w:rFonts w:ascii="Titillium Web" w:hAnsi="Titillium Web"/>
                <w:i/>
                <w:iCs/>
                <w:szCs w:val="24"/>
              </w:rPr>
              <w:t>: ricomponibile per intero. È alto 0,188.</w:t>
            </w:r>
          </w:p>
          <w:p w14:paraId="3512D2D6" w14:textId="77777777" w:rsidR="00A14CA0" w:rsidRPr="00B53DD8" w:rsidRDefault="00A14CA0" w:rsidP="00A14CA0">
            <w:pPr>
              <w:rPr>
                <w:rFonts w:ascii="Titillium Web" w:hAnsi="Titillium Web"/>
                <w:i/>
                <w:iCs/>
                <w:szCs w:val="24"/>
              </w:rPr>
            </w:pPr>
            <w:r w:rsidRPr="00B53DD8">
              <w:rPr>
                <w:rFonts w:ascii="Titillium Web" w:hAnsi="Titillium Web"/>
                <w:i/>
                <w:iCs/>
                <w:szCs w:val="24"/>
              </w:rPr>
              <w:t>Presso il braccio destro dello scheletro:</w:t>
            </w:r>
          </w:p>
          <w:p w14:paraId="2E2F2D7E" w14:textId="77777777" w:rsidR="00A14CA0" w:rsidRPr="00B53DD8" w:rsidRDefault="00A14CA0" w:rsidP="00A14CA0">
            <w:pPr>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w:t>
            </w:r>
            <w:proofErr w:type="spellStart"/>
            <w:r w:rsidRPr="00B53DD8">
              <w:rPr>
                <w:rFonts w:ascii="Titillium Web" w:hAnsi="Titillium Web"/>
                <w:i/>
                <w:iCs/>
                <w:szCs w:val="24"/>
              </w:rPr>
              <w:t>coppine</w:t>
            </w:r>
            <w:proofErr w:type="spellEnd"/>
            <w:r w:rsidRPr="00B53DD8">
              <w:rPr>
                <w:rFonts w:ascii="Titillium Web" w:hAnsi="Titillium Web"/>
                <w:i/>
                <w:iCs/>
                <w:szCs w:val="24"/>
              </w:rPr>
              <w:t xml:space="preserv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intere</w:t>
            </w:r>
          </w:p>
          <w:p w14:paraId="62F0F4C4" w14:textId="77777777" w:rsidR="00A14CA0" w:rsidRPr="00B53DD8" w:rsidRDefault="00A14CA0" w:rsidP="00A14CA0">
            <w:pPr>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tazzine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intere una di queste reca nell’interno una iscrizione grafita [ndr: presente disegno dell’iscrizione] e una sigla grafita nel fondello.</w:t>
            </w:r>
          </w:p>
          <w:p w14:paraId="50EAF3AB" w14:textId="77777777" w:rsidR="00A14CA0" w:rsidRPr="00B53DD8" w:rsidRDefault="00A14CA0" w:rsidP="00A14CA0">
            <w:pPr>
              <w:rPr>
                <w:rFonts w:ascii="Titillium Web" w:hAnsi="Titillium Web"/>
                <w:i/>
                <w:iCs/>
                <w:szCs w:val="24"/>
              </w:rPr>
            </w:pPr>
            <w:r w:rsidRPr="00B53DD8">
              <w:rPr>
                <w:rFonts w:ascii="Titillium Web" w:hAnsi="Titillium Web"/>
                <w:i/>
                <w:iCs/>
                <w:szCs w:val="24"/>
              </w:rPr>
              <w:t>1 coppa ad alto piede, di argilla cenerognola grezza, intera</w:t>
            </w:r>
          </w:p>
          <w:p w14:paraId="6092D99C" w14:textId="1E1C7E85" w:rsidR="00A14CA0" w:rsidRPr="00B53DD8" w:rsidRDefault="00A14CA0" w:rsidP="00A14CA0">
            <w:pPr>
              <w:rPr>
                <w:rFonts w:ascii="Titillium Web" w:hAnsi="Titillium Web"/>
                <w:i/>
                <w:iCs/>
                <w:szCs w:val="24"/>
              </w:rPr>
            </w:pPr>
            <w:r w:rsidRPr="00B53DD8">
              <w:rPr>
                <w:rFonts w:ascii="Titillium Web" w:hAnsi="Titillium Web"/>
                <w:i/>
                <w:iCs/>
                <w:szCs w:val="24"/>
              </w:rPr>
              <w:t xml:space="preserve">1 piccolo kotyle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un’ansa ad anello e una orizzontale: è frammentario nell’orlo e nell’an</w:t>
            </w:r>
            <w:r>
              <w:rPr>
                <w:rFonts w:ascii="Titillium Web" w:hAnsi="Titillium Web"/>
                <w:i/>
                <w:iCs/>
                <w:szCs w:val="24"/>
              </w:rPr>
              <w:t>s</w:t>
            </w:r>
            <w:r w:rsidRPr="00B53DD8">
              <w:rPr>
                <w:rFonts w:ascii="Titillium Web" w:hAnsi="Titillium Web"/>
                <w:i/>
                <w:iCs/>
                <w:szCs w:val="24"/>
              </w:rPr>
              <w:t xml:space="preserve">a </w:t>
            </w:r>
            <w:proofErr w:type="spellStart"/>
            <w:r w:rsidRPr="00B53DD8">
              <w:rPr>
                <w:rFonts w:ascii="Titillium Web" w:hAnsi="Titillium Web"/>
                <w:i/>
                <w:iCs/>
                <w:szCs w:val="24"/>
              </w:rPr>
              <w:t>orrizontale</w:t>
            </w:r>
            <w:proofErr w:type="spellEnd"/>
            <w:r w:rsidRPr="00B53DD8">
              <w:rPr>
                <w:rFonts w:ascii="Titillium Web" w:hAnsi="Titillium Web"/>
                <w:i/>
                <w:iCs/>
                <w:szCs w:val="24"/>
              </w:rPr>
              <w:t>.</w:t>
            </w:r>
          </w:p>
          <w:p w14:paraId="7CB3247D" w14:textId="77777777" w:rsidR="00A14CA0" w:rsidRPr="00B53DD8" w:rsidRDefault="00A14CA0" w:rsidP="00A14CA0">
            <w:pPr>
              <w:rPr>
                <w:rFonts w:ascii="Titillium Web" w:hAnsi="Titillium Web"/>
                <w:i/>
                <w:iCs/>
                <w:szCs w:val="24"/>
              </w:rPr>
            </w:pPr>
            <w:r w:rsidRPr="00B53DD8">
              <w:rPr>
                <w:rFonts w:ascii="Titillium Web" w:hAnsi="Titillium Web"/>
                <w:i/>
                <w:iCs/>
                <w:szCs w:val="24"/>
              </w:rPr>
              <w:t>Presso la destra si rinvennero:</w:t>
            </w:r>
          </w:p>
          <w:p w14:paraId="7F8BC20C" w14:textId="77777777" w:rsidR="00A14CA0" w:rsidRPr="00B53DD8" w:rsidRDefault="00A14CA0" w:rsidP="00A14CA0">
            <w:pPr>
              <w:rPr>
                <w:rFonts w:ascii="Titillium Web" w:hAnsi="Titillium Web"/>
                <w:i/>
                <w:iCs/>
                <w:szCs w:val="24"/>
              </w:rPr>
            </w:pPr>
            <w:r w:rsidRPr="00B53DD8">
              <w:rPr>
                <w:rFonts w:ascii="Titillium Web" w:hAnsi="Titillium Web"/>
                <w:i/>
                <w:iCs/>
                <w:szCs w:val="24"/>
              </w:rPr>
              <w:t>1 lucernina discoidale con ansa ad anello e beccuccio a bocchino di tromba e nel centro il foro per versarvi l’olio.</w:t>
            </w:r>
          </w:p>
          <w:p w14:paraId="2FA04344" w14:textId="77777777" w:rsidR="00A14CA0" w:rsidRPr="00B53DD8" w:rsidRDefault="00A14CA0" w:rsidP="00A14CA0">
            <w:pPr>
              <w:rPr>
                <w:rFonts w:ascii="Titillium Web" w:hAnsi="Titillium Web"/>
                <w:i/>
                <w:iCs/>
                <w:szCs w:val="24"/>
              </w:rPr>
            </w:pPr>
            <w:r w:rsidRPr="00B53DD8">
              <w:rPr>
                <w:rFonts w:ascii="Titillium Web" w:hAnsi="Titillium Web"/>
                <w:i/>
                <w:iCs/>
                <w:szCs w:val="24"/>
              </w:rPr>
              <w:t>Il foro centrale conserva il suo coperchietto con incastro per essere girato e chiudere all’interno.</w:t>
            </w:r>
          </w:p>
          <w:p w14:paraId="324159C0" w14:textId="77777777" w:rsidR="00A14CA0" w:rsidRPr="00B53DD8" w:rsidRDefault="00A14CA0" w:rsidP="00A14CA0">
            <w:pPr>
              <w:rPr>
                <w:rFonts w:ascii="Titillium Web" w:hAnsi="Titillium Web"/>
                <w:i/>
                <w:iCs/>
                <w:szCs w:val="24"/>
              </w:rPr>
            </w:pPr>
            <w:r w:rsidRPr="00B53DD8">
              <w:rPr>
                <w:rFonts w:ascii="Titillium Web" w:hAnsi="Titillium Web"/>
                <w:i/>
                <w:iCs/>
                <w:szCs w:val="24"/>
              </w:rPr>
              <w:t>La lucernina è decorata di tre animali, stilizzati, a figure rosse su fondo nero.</w:t>
            </w:r>
          </w:p>
          <w:p w14:paraId="101CF09F" w14:textId="77777777" w:rsidR="00A14CA0" w:rsidRPr="00B53DD8" w:rsidRDefault="00A14CA0" w:rsidP="00A14CA0">
            <w:pPr>
              <w:rPr>
                <w:rFonts w:ascii="Titillium Web" w:hAnsi="Titillium Web"/>
                <w:i/>
                <w:iCs/>
                <w:szCs w:val="24"/>
              </w:rPr>
            </w:pPr>
            <w:r w:rsidRPr="00B53DD8">
              <w:rPr>
                <w:rFonts w:ascii="Titillium Web" w:hAnsi="Titillium Web"/>
                <w:i/>
                <w:iCs/>
                <w:szCs w:val="24"/>
              </w:rPr>
              <w:t xml:space="preserve">La lucernina è intatta. </w:t>
            </w:r>
          </w:p>
          <w:p w14:paraId="4147BD62" w14:textId="77777777" w:rsidR="00A14CA0" w:rsidRPr="00B53DD8" w:rsidRDefault="00A14CA0" w:rsidP="00A14CA0">
            <w:pPr>
              <w:rPr>
                <w:rFonts w:ascii="Titillium Web" w:hAnsi="Titillium Web"/>
                <w:i/>
                <w:iCs/>
                <w:szCs w:val="24"/>
              </w:rPr>
            </w:pPr>
            <w:r w:rsidRPr="00B53DD8">
              <w:rPr>
                <w:rFonts w:ascii="Titillium Web" w:hAnsi="Titillium Web"/>
                <w:i/>
                <w:iCs/>
                <w:szCs w:val="24"/>
              </w:rPr>
              <w:t xml:space="preserve">1 piccolo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 con una fascia in rosso risparmiato sulla spalla.</w:t>
            </w:r>
          </w:p>
          <w:p w14:paraId="78392639" w14:textId="77777777" w:rsidR="00A14CA0" w:rsidRPr="00B53DD8" w:rsidRDefault="00A14CA0" w:rsidP="00A14CA0">
            <w:pPr>
              <w:rPr>
                <w:rFonts w:ascii="Titillium Web" w:hAnsi="Titillium Web"/>
                <w:i/>
                <w:iCs/>
                <w:szCs w:val="24"/>
              </w:rPr>
            </w:pPr>
            <w:r w:rsidRPr="00B53DD8">
              <w:rPr>
                <w:rFonts w:ascii="Titillium Web" w:hAnsi="Titillium Web"/>
                <w:i/>
                <w:iCs/>
                <w:szCs w:val="24"/>
              </w:rPr>
              <w:t xml:space="preserve">Ha l’ansa ed il beccuccio staccati. </w:t>
            </w:r>
          </w:p>
          <w:p w14:paraId="437C5FCE" w14:textId="77777777" w:rsidR="00A14CA0" w:rsidRPr="00B53DD8" w:rsidRDefault="00A14CA0" w:rsidP="00A14CA0">
            <w:pPr>
              <w:rPr>
                <w:rFonts w:ascii="Titillium Web" w:hAnsi="Titillium Web"/>
                <w:i/>
                <w:iCs/>
                <w:szCs w:val="24"/>
              </w:rPr>
            </w:pPr>
            <w:r w:rsidRPr="00B53DD8">
              <w:rPr>
                <w:rFonts w:ascii="Titillium Web" w:hAnsi="Titillium Web"/>
                <w:i/>
                <w:iCs/>
                <w:szCs w:val="24"/>
              </w:rPr>
              <w:t>intero è alto 0,08</w:t>
            </w:r>
          </w:p>
          <w:p w14:paraId="1574287F" w14:textId="77777777" w:rsidR="00A14CA0" w:rsidRPr="00B53DD8" w:rsidRDefault="00A14CA0" w:rsidP="00A14CA0">
            <w:pPr>
              <w:rPr>
                <w:rFonts w:ascii="Titillium Web" w:hAnsi="Titillium Web"/>
                <w:i/>
                <w:iCs/>
                <w:szCs w:val="24"/>
              </w:rPr>
            </w:pPr>
            <w:r w:rsidRPr="00B53DD8">
              <w:rPr>
                <w:rFonts w:ascii="Titillium Web" w:hAnsi="Titillium Web"/>
                <w:i/>
                <w:iCs/>
                <w:szCs w:val="24"/>
              </w:rPr>
              <w:t>Presso il ginocchio destro erano:</w:t>
            </w:r>
          </w:p>
          <w:p w14:paraId="24424EA1" w14:textId="77777777" w:rsidR="00A14CA0" w:rsidRPr="00B53DD8" w:rsidRDefault="00A14CA0" w:rsidP="00A14CA0">
            <w:pPr>
              <w:rPr>
                <w:rFonts w:ascii="Titillium Web" w:hAnsi="Titillium Web"/>
                <w:i/>
                <w:iCs/>
                <w:szCs w:val="24"/>
              </w:rPr>
            </w:pPr>
            <w:r w:rsidRPr="00B53DD8">
              <w:rPr>
                <w:rFonts w:ascii="Titillium Web" w:hAnsi="Titillium Web"/>
                <w:i/>
                <w:iCs/>
                <w:szCs w:val="24"/>
              </w:rPr>
              <w:t xml:space="preserve">2 oinochoai a forma di brocca, con bocca trilobata; uno ha la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ed è intero, l’altro ha una vernice rossa in parte scomparsa ed è frammentato nella bocca e nell’ansa.</w:t>
            </w:r>
          </w:p>
          <w:p w14:paraId="1ECF3CB3" w14:textId="77777777" w:rsidR="00A14CA0" w:rsidRPr="00B53DD8" w:rsidRDefault="00A14CA0" w:rsidP="00A14CA0">
            <w:pPr>
              <w:rPr>
                <w:rFonts w:ascii="Titillium Web" w:hAnsi="Titillium Web"/>
                <w:i/>
                <w:iCs/>
                <w:szCs w:val="24"/>
              </w:rPr>
            </w:pPr>
            <w:r w:rsidRPr="00B53DD8">
              <w:rPr>
                <w:rFonts w:ascii="Titillium Web" w:hAnsi="Titillium Web"/>
                <w:i/>
                <w:iCs/>
                <w:szCs w:val="24"/>
              </w:rPr>
              <w:lastRenderedPageBreak/>
              <w:t>Fra il fango e gli avanzi delle ossa dello scheletro, si notarono lievissime tracce di color bruno - nerastro, dovute a qualche frammentino di bronzo decomposto.</w:t>
            </w:r>
          </w:p>
          <w:p w14:paraId="5D1AEFC2" w14:textId="2BEAEE23" w:rsidR="0086297F" w:rsidRPr="00A14CA0" w:rsidRDefault="00A14CA0" w:rsidP="002665C6">
            <w:pPr>
              <w:rPr>
                <w:rFonts w:ascii="Titillium Web" w:hAnsi="Titillium Web"/>
                <w:i/>
                <w:iCs/>
                <w:szCs w:val="24"/>
              </w:rPr>
            </w:pPr>
            <w:r w:rsidRPr="00B53DD8">
              <w:rPr>
                <w:rFonts w:ascii="Titillium Web" w:hAnsi="Titillium Web"/>
                <w:i/>
                <w:iCs/>
                <w:szCs w:val="24"/>
              </w:rPr>
              <w:t>Qui la sabbia sale e dista 0,70 dal piano attuale di campagna.</w:t>
            </w:r>
          </w:p>
        </w:tc>
      </w:tr>
      <w:tr w:rsidR="0086297F" w:rsidRPr="00DF0C0B" w14:paraId="1429C2F3" w14:textId="77777777" w:rsidTr="002665C6">
        <w:trPr>
          <w:jc w:val="center"/>
        </w:trPr>
        <w:tc>
          <w:tcPr>
            <w:tcW w:w="1650" w:type="pct"/>
            <w:vAlign w:val="center"/>
          </w:tcPr>
          <w:p w14:paraId="7F398080"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lastRenderedPageBreak/>
              <w:t>Posizione del corredo</w:t>
            </w:r>
          </w:p>
        </w:tc>
        <w:tc>
          <w:tcPr>
            <w:tcW w:w="3350" w:type="pct"/>
            <w:vAlign w:val="center"/>
          </w:tcPr>
          <w:p w14:paraId="5C03ADA7" w14:textId="7BF3AD8D" w:rsidR="0086297F" w:rsidRPr="00DF0C0B" w:rsidRDefault="0086297F" w:rsidP="002665C6">
            <w:pPr>
              <w:jc w:val="center"/>
              <w:rPr>
                <w:rFonts w:ascii="Titillium Web" w:hAnsi="Titillium Web"/>
                <w:szCs w:val="24"/>
              </w:rPr>
            </w:pPr>
            <w:r w:rsidRPr="00DF0C0B">
              <w:rPr>
                <w:rFonts w:ascii="Titillium Web" w:hAnsi="Titillium Web"/>
                <w:szCs w:val="24"/>
              </w:rPr>
              <w:t>Fianco destro</w:t>
            </w:r>
          </w:p>
        </w:tc>
      </w:tr>
      <w:tr w:rsidR="0086297F" w:rsidRPr="00DF0C0B" w14:paraId="71A0E4AF" w14:textId="77777777" w:rsidTr="002665C6">
        <w:trPr>
          <w:jc w:val="center"/>
        </w:trPr>
        <w:tc>
          <w:tcPr>
            <w:tcW w:w="1650" w:type="pct"/>
            <w:vAlign w:val="center"/>
          </w:tcPr>
          <w:p w14:paraId="2128B19B"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Genere (legato all’analisi del corredo)</w:t>
            </w:r>
          </w:p>
        </w:tc>
        <w:tc>
          <w:tcPr>
            <w:tcW w:w="3350" w:type="pct"/>
            <w:vAlign w:val="center"/>
          </w:tcPr>
          <w:p w14:paraId="31324C2B" w14:textId="4E55E405" w:rsidR="0086297F" w:rsidRPr="00DF0C0B" w:rsidRDefault="0086297F" w:rsidP="002665C6">
            <w:pPr>
              <w:jc w:val="center"/>
              <w:rPr>
                <w:rFonts w:ascii="Titillium Web" w:hAnsi="Titillium Web"/>
                <w:szCs w:val="24"/>
              </w:rPr>
            </w:pPr>
            <w:r w:rsidRPr="00DF0C0B">
              <w:rPr>
                <w:rFonts w:ascii="Titillium Web" w:hAnsi="Titillium Web"/>
                <w:szCs w:val="24"/>
              </w:rPr>
              <w:t>Non determinabile</w:t>
            </w:r>
          </w:p>
        </w:tc>
      </w:tr>
      <w:tr w:rsidR="0086297F" w:rsidRPr="00DF0C0B" w14:paraId="17633947" w14:textId="77777777" w:rsidTr="002665C6">
        <w:trPr>
          <w:jc w:val="center"/>
        </w:trPr>
        <w:tc>
          <w:tcPr>
            <w:tcW w:w="1650" w:type="pct"/>
            <w:vAlign w:val="center"/>
          </w:tcPr>
          <w:p w14:paraId="44721053"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Sesso (legato alle analisi antropologiche)</w:t>
            </w:r>
          </w:p>
        </w:tc>
        <w:tc>
          <w:tcPr>
            <w:tcW w:w="3350" w:type="pct"/>
            <w:vAlign w:val="center"/>
          </w:tcPr>
          <w:p w14:paraId="66E918A4" w14:textId="50197FF0" w:rsidR="0086297F" w:rsidRPr="00DF0C0B" w:rsidRDefault="0086297F" w:rsidP="002665C6">
            <w:pPr>
              <w:jc w:val="center"/>
              <w:rPr>
                <w:rFonts w:ascii="Titillium Web" w:hAnsi="Titillium Web"/>
                <w:szCs w:val="24"/>
              </w:rPr>
            </w:pPr>
            <w:r w:rsidRPr="00DF0C0B">
              <w:rPr>
                <w:rFonts w:ascii="Titillium Web" w:hAnsi="Titillium Web"/>
                <w:szCs w:val="24"/>
              </w:rPr>
              <w:t>Non determinabile</w:t>
            </w:r>
          </w:p>
        </w:tc>
      </w:tr>
      <w:tr w:rsidR="0086297F" w:rsidRPr="00DF0C0B" w14:paraId="0588946D" w14:textId="77777777" w:rsidTr="002665C6">
        <w:trPr>
          <w:jc w:val="center"/>
        </w:trPr>
        <w:tc>
          <w:tcPr>
            <w:tcW w:w="1650" w:type="pct"/>
            <w:vAlign w:val="center"/>
          </w:tcPr>
          <w:p w14:paraId="54990945"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Classi di età</w:t>
            </w:r>
          </w:p>
        </w:tc>
        <w:tc>
          <w:tcPr>
            <w:tcW w:w="3350" w:type="pct"/>
            <w:vAlign w:val="center"/>
          </w:tcPr>
          <w:p w14:paraId="0E0589EA" w14:textId="7D4DF825" w:rsidR="0086297F" w:rsidRPr="00DF0C0B" w:rsidRDefault="0086297F" w:rsidP="002665C6">
            <w:pPr>
              <w:jc w:val="center"/>
              <w:rPr>
                <w:rFonts w:ascii="Titillium Web" w:hAnsi="Titillium Web"/>
                <w:szCs w:val="24"/>
              </w:rPr>
            </w:pPr>
            <w:r w:rsidRPr="00DF0C0B">
              <w:rPr>
                <w:rFonts w:ascii="Titillium Web" w:hAnsi="Titillium Web"/>
                <w:szCs w:val="24"/>
              </w:rPr>
              <w:t>Adulto giovane</w:t>
            </w:r>
          </w:p>
        </w:tc>
      </w:tr>
      <w:tr w:rsidR="0086297F" w:rsidRPr="00DF0C0B" w14:paraId="1FFA88A1" w14:textId="77777777" w:rsidTr="002665C6">
        <w:trPr>
          <w:jc w:val="center"/>
        </w:trPr>
        <w:tc>
          <w:tcPr>
            <w:tcW w:w="1650" w:type="pct"/>
            <w:vAlign w:val="center"/>
          </w:tcPr>
          <w:p w14:paraId="63B2D8D6" w14:textId="77777777" w:rsidR="0086297F" w:rsidRPr="00DF0C0B" w:rsidRDefault="0086297F" w:rsidP="002665C6">
            <w:pPr>
              <w:jc w:val="center"/>
              <w:rPr>
                <w:rFonts w:ascii="Titillium Web" w:hAnsi="Titillium Web"/>
                <w:smallCaps/>
                <w:szCs w:val="24"/>
              </w:rPr>
            </w:pPr>
            <w:r w:rsidRPr="00DF0C0B">
              <w:rPr>
                <w:rFonts w:ascii="Titillium Web" w:hAnsi="Titillium Web"/>
                <w:smallCaps/>
                <w:szCs w:val="24"/>
              </w:rPr>
              <w:t>Bibliografia essenziale</w:t>
            </w:r>
          </w:p>
        </w:tc>
        <w:tc>
          <w:tcPr>
            <w:tcW w:w="3350" w:type="pct"/>
            <w:vAlign w:val="center"/>
          </w:tcPr>
          <w:p w14:paraId="4A4F4395" w14:textId="77777777" w:rsidR="006C0A03" w:rsidRPr="00DF0C0B" w:rsidRDefault="00167AB3" w:rsidP="00A14CA0">
            <w:pPr>
              <w:jc w:val="center"/>
              <w:rPr>
                <w:rFonts w:ascii="Titillium Web" w:hAnsi="Titillium Web"/>
                <w:szCs w:val="24"/>
              </w:rPr>
            </w:pPr>
            <w:r w:rsidRPr="00A14CA0">
              <w:rPr>
                <w:rFonts w:ascii="Titillium Web" w:eastAsia="Titillium" w:hAnsi="Titillium Web" w:cs="Titillium"/>
                <w:smallCaps/>
                <w:szCs w:val="24"/>
              </w:rPr>
              <w:t>Felletti-Maj</w:t>
            </w:r>
            <w:r w:rsidRPr="00DF0C0B">
              <w:rPr>
                <w:rFonts w:ascii="Titillium Web" w:eastAsia="Titillium" w:hAnsi="Titillium Web" w:cs="Titillium"/>
                <w:szCs w:val="24"/>
              </w:rPr>
              <w:t xml:space="preserve"> 1940, p. 327; </w:t>
            </w:r>
            <w:r w:rsidRPr="00A14CA0">
              <w:rPr>
                <w:rFonts w:ascii="Titillium Web" w:eastAsia="Titillium" w:hAnsi="Titillium Web" w:cs="Titillium"/>
                <w:smallCaps/>
                <w:szCs w:val="24"/>
              </w:rPr>
              <w:t>Timossi</w:t>
            </w:r>
            <w:r w:rsidRPr="00DF0C0B">
              <w:rPr>
                <w:rFonts w:ascii="Titillium Web" w:eastAsia="Titillium" w:hAnsi="Titillium Web" w:cs="Titillium"/>
                <w:szCs w:val="24"/>
              </w:rPr>
              <w:t xml:space="preserve"> 2019</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13D92"/>
    <w:rsid w:val="002977D7"/>
    <w:rsid w:val="00472AF4"/>
    <w:rsid w:val="00551AF8"/>
    <w:rsid w:val="005B5AFF"/>
    <w:rsid w:val="006162A4"/>
    <w:rsid w:val="006346F7"/>
    <w:rsid w:val="006C0A03"/>
    <w:rsid w:val="006D6EFB"/>
    <w:rsid w:val="007145BC"/>
    <w:rsid w:val="0086297F"/>
    <w:rsid w:val="009E4922"/>
    <w:rsid w:val="00A14CA0"/>
    <w:rsid w:val="00AB321D"/>
    <w:rsid w:val="00B165C4"/>
    <w:rsid w:val="00C21EE0"/>
    <w:rsid w:val="00D900AB"/>
    <w:rsid w:val="00D936E8"/>
    <w:rsid w:val="00DF0C0B"/>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8</cp:revision>
  <dcterms:created xsi:type="dcterms:W3CDTF">2026-04-30T12:42:00Z</dcterms:created>
  <dcterms:modified xsi:type="dcterms:W3CDTF">2026-05-13T21:07:00Z</dcterms:modified>
</cp:coreProperties>
</file>